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B8F6" w14:textId="7023B739" w:rsidR="00023272" w:rsidRPr="00023272" w:rsidRDefault="00023272" w:rsidP="00023272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ab/>
      </w:r>
      <w:r w:rsidRPr="00023272">
        <w:rPr>
          <w:color w:val="000000"/>
          <w:sz w:val="28"/>
          <w:szCs w:val="28"/>
          <w:shd w:val="clear" w:color="auto" w:fill="FFFFFF"/>
        </w:rPr>
        <w:t>Ильсур Ахметшин</w:t>
      </w:r>
      <w:r w:rsidR="000B1069">
        <w:rPr>
          <w:color w:val="000000"/>
          <w:sz w:val="28"/>
          <w:szCs w:val="28"/>
          <w:shd w:val="clear" w:color="auto" w:fill="FFFFFF"/>
        </w:rPr>
        <w:t>,</w:t>
      </w:r>
    </w:p>
    <w:p w14:paraId="3A3075CB" w14:textId="77777777" w:rsidR="000B1069" w:rsidRDefault="000B1069" w:rsidP="00023272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Комитета МТПП </w:t>
      </w:r>
    </w:p>
    <w:p w14:paraId="669F9D35" w14:textId="086F8AE7" w:rsidR="00023272" w:rsidRDefault="000B1069" w:rsidP="00023272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развитию комплаенса и деловой этики</w:t>
      </w:r>
    </w:p>
    <w:p w14:paraId="5E6F34EF" w14:textId="77777777" w:rsidR="00023272" w:rsidRPr="009C190C" w:rsidRDefault="00023272" w:rsidP="00023272">
      <w:pPr>
        <w:jc w:val="right"/>
        <w:rPr>
          <w:color w:val="000000"/>
          <w:sz w:val="28"/>
          <w:szCs w:val="28"/>
          <w:shd w:val="clear" w:color="auto" w:fill="FFFFFF"/>
        </w:rPr>
      </w:pPr>
    </w:p>
    <w:p w14:paraId="2F9168F1" w14:textId="77777777" w:rsidR="00023272" w:rsidRDefault="00023272" w:rsidP="00023272">
      <w:pPr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89D1659" w14:textId="731ACFB7" w:rsidR="00EC45BD" w:rsidRPr="00D178A7" w:rsidRDefault="00EC45BD" w:rsidP="00EC45BD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178A7">
        <w:rPr>
          <w:b/>
          <w:bCs/>
          <w:color w:val="000000"/>
          <w:sz w:val="28"/>
          <w:szCs w:val="28"/>
          <w:shd w:val="clear" w:color="auto" w:fill="FFFFFF"/>
        </w:rPr>
        <w:t>Отраслевая программа развития антикоррупционного комплаенса и деловой этики в организациях Московского транспорта:</w:t>
      </w:r>
    </w:p>
    <w:p w14:paraId="6A736462" w14:textId="386952AB" w:rsidR="00EC45BD" w:rsidRPr="00D178A7" w:rsidRDefault="00EC45BD" w:rsidP="00D178A7">
      <w:pPr>
        <w:jc w:val="center"/>
        <w:rPr>
          <w:b/>
          <w:bCs/>
          <w:sz w:val="28"/>
          <w:szCs w:val="28"/>
        </w:rPr>
      </w:pPr>
      <w:r w:rsidRPr="00D178A7">
        <w:rPr>
          <w:b/>
          <w:bCs/>
          <w:color w:val="000000"/>
          <w:sz w:val="28"/>
          <w:szCs w:val="28"/>
          <w:shd w:val="clear" w:color="auto" w:fill="FFFFFF"/>
        </w:rPr>
        <w:t xml:space="preserve"> от концепции до международной сертификации</w:t>
      </w:r>
    </w:p>
    <w:p w14:paraId="4C928B44" w14:textId="77777777" w:rsidR="00AC1A05" w:rsidRDefault="00AC1A05" w:rsidP="00CC66BC">
      <w:pPr>
        <w:ind w:firstLine="708"/>
        <w:jc w:val="both"/>
        <w:rPr>
          <w:b/>
          <w:bCs/>
          <w:sz w:val="28"/>
          <w:szCs w:val="28"/>
        </w:rPr>
      </w:pPr>
    </w:p>
    <w:p w14:paraId="2CF593E2" w14:textId="77777777" w:rsidR="00AC1A05" w:rsidRDefault="00AC1A05" w:rsidP="008701D2">
      <w:pPr>
        <w:ind w:firstLine="708"/>
        <w:jc w:val="both"/>
        <w:rPr>
          <w:sz w:val="28"/>
          <w:szCs w:val="28"/>
        </w:rPr>
      </w:pPr>
      <w:r w:rsidRPr="004A1D5D">
        <w:rPr>
          <w:sz w:val="28"/>
          <w:szCs w:val="28"/>
        </w:rPr>
        <w:t>Со</w:t>
      </w:r>
      <w:r>
        <w:rPr>
          <w:sz w:val="28"/>
          <w:szCs w:val="28"/>
        </w:rPr>
        <w:t>временное со</w:t>
      </w:r>
      <w:r w:rsidRPr="004A1D5D">
        <w:rPr>
          <w:sz w:val="28"/>
          <w:szCs w:val="28"/>
        </w:rPr>
        <w:t xml:space="preserve">держание </w:t>
      </w:r>
      <w:r>
        <w:rPr>
          <w:sz w:val="28"/>
          <w:szCs w:val="28"/>
        </w:rPr>
        <w:t xml:space="preserve">антикоррупционных программ как в государственных, так и в частных организациях, требует включения в них требований международных стандартов и достижений лучших практик комплаенса и деловой этики. Понятно, что при таком подходе качество антикоррупционных программ значительно улучшается, а их эффективность возрастает. </w:t>
      </w:r>
    </w:p>
    <w:p w14:paraId="64371952" w14:textId="69B321AA" w:rsidR="00AC1A05" w:rsidRPr="00F7362E" w:rsidRDefault="00AC1A05" w:rsidP="00CC6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настоящей статье рассматривается опыт разработки </w:t>
      </w:r>
      <w:r w:rsidR="00EC45BD">
        <w:rPr>
          <w:sz w:val="28"/>
          <w:szCs w:val="28"/>
        </w:rPr>
        <w:t xml:space="preserve">концепции </w:t>
      </w:r>
      <w:r>
        <w:rPr>
          <w:sz w:val="28"/>
          <w:szCs w:val="28"/>
        </w:rPr>
        <w:t xml:space="preserve">и пилотного внедрения Отраслевой программы развития антикоррупционного комплаенса и деловой этики в организациях Московского транспорта («Отраслевая программа») на примере Автономной некоммерческой организации «Московская дирекция транспортного обслуживания» (АНО «МДТО»). При этом анализируется содержание Отраслевой программы в разрезе включения в нее рекомендаций международного стандарта </w:t>
      </w:r>
      <w:r>
        <w:rPr>
          <w:sz w:val="28"/>
          <w:szCs w:val="28"/>
          <w:lang w:val="en-US"/>
        </w:rPr>
        <w:t>ISO</w:t>
      </w:r>
      <w:r w:rsidRPr="00A84051">
        <w:rPr>
          <w:sz w:val="28"/>
          <w:szCs w:val="28"/>
        </w:rPr>
        <w:t xml:space="preserve"> </w:t>
      </w:r>
      <w:r>
        <w:rPr>
          <w:sz w:val="28"/>
          <w:szCs w:val="28"/>
        </w:rPr>
        <w:t>37001:2016</w:t>
      </w:r>
      <w:r w:rsidRPr="00A84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«Системы менеджмента противодействия коррупции. Требования и рекомендации по применению». </w:t>
      </w:r>
      <w:r w:rsidR="00BB3E05">
        <w:rPr>
          <w:sz w:val="28"/>
          <w:szCs w:val="28"/>
        </w:rPr>
        <w:t>В заключ</w:t>
      </w:r>
      <w:r w:rsidR="00C259B5">
        <w:rPr>
          <w:sz w:val="28"/>
          <w:szCs w:val="28"/>
        </w:rPr>
        <w:t xml:space="preserve">ительной части статьи приводятся подтверждения положительного эффекта, полученного в результате внедрения Отраслевой программы и включения в нее положений международного стандарта </w:t>
      </w:r>
      <w:r w:rsidR="00C259B5">
        <w:rPr>
          <w:sz w:val="28"/>
          <w:szCs w:val="28"/>
          <w:lang w:val="en-US"/>
        </w:rPr>
        <w:t>ISO</w:t>
      </w:r>
      <w:r w:rsidR="00C259B5" w:rsidRPr="00A84051">
        <w:rPr>
          <w:sz w:val="28"/>
          <w:szCs w:val="28"/>
        </w:rPr>
        <w:t xml:space="preserve"> </w:t>
      </w:r>
      <w:r w:rsidR="00C259B5">
        <w:rPr>
          <w:sz w:val="28"/>
          <w:szCs w:val="28"/>
        </w:rPr>
        <w:t xml:space="preserve">37001:2016. </w:t>
      </w:r>
    </w:p>
    <w:p w14:paraId="30D33EEC" w14:textId="77777777" w:rsidR="00AC1A05" w:rsidRDefault="00AC1A05" w:rsidP="00CC66BC">
      <w:pPr>
        <w:ind w:firstLine="708"/>
        <w:jc w:val="both"/>
        <w:rPr>
          <w:sz w:val="28"/>
          <w:szCs w:val="28"/>
        </w:rPr>
      </w:pPr>
    </w:p>
    <w:p w14:paraId="3321BF4C" w14:textId="77777777" w:rsidR="00AC1A05" w:rsidRPr="002E6366" w:rsidRDefault="00AC1A05" w:rsidP="00CC66BC">
      <w:pPr>
        <w:ind w:firstLine="708"/>
        <w:jc w:val="both"/>
        <w:rPr>
          <w:i/>
          <w:iCs/>
          <w:sz w:val="28"/>
          <w:szCs w:val="28"/>
        </w:rPr>
      </w:pPr>
      <w:r w:rsidRPr="002E6366">
        <w:rPr>
          <w:i/>
          <w:iCs/>
          <w:sz w:val="28"/>
          <w:szCs w:val="28"/>
        </w:rPr>
        <w:t xml:space="preserve">АНО «МДТО» и Отраслевая программа </w:t>
      </w:r>
    </w:p>
    <w:p w14:paraId="30B49F1A" w14:textId="77777777" w:rsidR="00AC1A05" w:rsidRDefault="00AC1A05" w:rsidP="00CC66BC">
      <w:pPr>
        <w:ind w:firstLine="708"/>
        <w:jc w:val="both"/>
        <w:rPr>
          <w:sz w:val="28"/>
          <w:szCs w:val="28"/>
        </w:rPr>
      </w:pPr>
    </w:p>
    <w:p w14:paraId="371648EA" w14:textId="77777777" w:rsidR="00D413D5" w:rsidRPr="00D178A7" w:rsidRDefault="00D413D5" w:rsidP="00D178A7">
      <w:pPr>
        <w:ind w:firstLine="708"/>
        <w:jc w:val="both"/>
        <w:rPr>
          <w:sz w:val="28"/>
          <w:szCs w:val="28"/>
        </w:rPr>
      </w:pPr>
      <w:r w:rsidRPr="00D178A7">
        <w:rPr>
          <w:color w:val="000000"/>
          <w:sz w:val="28"/>
          <w:szCs w:val="28"/>
          <w:shd w:val="clear" w:color="auto" w:fill="FFFFFF"/>
        </w:rPr>
        <w:t>АНО "МДТО" учреждена Правительством Москвы с целью совершенствования транспортного обслуживания населения и организаций, развития новых видов транспортного обслуживания, а также осуществления деятельности в области права, в том числе организации мероприятий правового просвещения, предоставления рекомендаций и консультаций в области профилактики коррупции.</w:t>
      </w:r>
    </w:p>
    <w:p w14:paraId="21F4FC23" w14:textId="77777777" w:rsidR="00AC1A05" w:rsidRDefault="00AC1A05" w:rsidP="00CC6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АНО «МДТО» большое внимание уделяется тематике антикоррупционного комплаенса, и эта организация является пионером во внедрении инструментов комплаенса и деловой этики в транспортном комплексе города. </w:t>
      </w:r>
    </w:p>
    <w:p w14:paraId="4E799232" w14:textId="77777777" w:rsidR="00AC1A05" w:rsidRDefault="00AC1A05" w:rsidP="00CC6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инициативе АНО «МДТО» в октябре-декабре 2020 года была разработана Отраслевая программа развития антикоррупционного комплаенса и деловой этики в организациях Московского транспорта.</w:t>
      </w:r>
      <w:r>
        <w:rPr>
          <w:rStyle w:val="a8"/>
          <w:sz w:val="28"/>
          <w:szCs w:val="28"/>
        </w:rPr>
        <w:footnoteReference w:id="1"/>
      </w:r>
    </w:p>
    <w:p w14:paraId="28EA6CF2" w14:textId="150F6B24" w:rsidR="00AC1A05" w:rsidRDefault="00AC1A05" w:rsidP="000B10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чем особенности Отраслевой программы? Во-первых, в том, что Отраслевая программа представляет собой системный документ, охватывающий 1</w:t>
      </w:r>
      <w:r w:rsidR="00DC40A3">
        <w:rPr>
          <w:sz w:val="28"/>
          <w:szCs w:val="28"/>
        </w:rPr>
        <w:t>1</w:t>
      </w:r>
      <w:r>
        <w:rPr>
          <w:sz w:val="28"/>
          <w:szCs w:val="28"/>
        </w:rPr>
        <w:t xml:space="preserve"> направлений</w:t>
      </w:r>
      <w:r w:rsidRPr="001325FA">
        <w:rPr>
          <w:sz w:val="28"/>
          <w:szCs w:val="28"/>
        </w:rPr>
        <w:t xml:space="preserve"> </w:t>
      </w:r>
      <w:r>
        <w:rPr>
          <w:sz w:val="28"/>
          <w:szCs w:val="28"/>
        </w:rPr>
        <w:t>антикоррупционного комплаенса и деловой этики:</w:t>
      </w:r>
    </w:p>
    <w:p w14:paraId="44623F27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Лидерство руководителей,</w:t>
      </w:r>
    </w:p>
    <w:p w14:paraId="081DA0B3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функции антикоррупционного комплаенса и деловой этики,</w:t>
      </w:r>
    </w:p>
    <w:p w14:paraId="73AAAB39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Периодическая оценка рисков,</w:t>
      </w:r>
    </w:p>
    <w:p w14:paraId="75778C62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деловой этики и поведения, политики и процедуры,</w:t>
      </w:r>
    </w:p>
    <w:p w14:paraId="06519459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коммуникации,</w:t>
      </w:r>
    </w:p>
    <w:p w14:paraId="02B4E0D8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линия и внутренние проверки,</w:t>
      </w:r>
    </w:p>
    <w:p w14:paraId="70226F05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поощрения и дисциплинарные взыскания,</w:t>
      </w:r>
    </w:p>
    <w:p w14:paraId="740A07A1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с третьими лицами – проверка деловых партнеров,</w:t>
      </w:r>
    </w:p>
    <w:p w14:paraId="3FD3A326" w14:textId="1F42222C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тестирование,</w:t>
      </w:r>
    </w:p>
    <w:p w14:paraId="4725A858" w14:textId="29ECA754" w:rsidR="00FB0098" w:rsidRDefault="00FB0098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подведомственных организаций, дочерних и зависимых обществ,</w:t>
      </w:r>
    </w:p>
    <w:p w14:paraId="3526C5CB" w14:textId="77777777" w:rsidR="00AC1A05" w:rsidRDefault="00AC1A05" w:rsidP="00CC66B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независимая оценка.</w:t>
      </w:r>
    </w:p>
    <w:p w14:paraId="2B7EC02F" w14:textId="77777777" w:rsidR="00AC1A05" w:rsidRPr="0098446D" w:rsidRDefault="00AC1A05" w:rsidP="00CC6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Во-вторых, Отраслевая программа рассчитана на применение не в одной отдельно взятой организации, а во всех организациях транспортной отрасли города Москвы.</w:t>
      </w:r>
      <w:r w:rsidRPr="00984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этих целей в ней определена компетенция централизованной функции антикоррупционного комплаенса и деловой этики. </w:t>
      </w:r>
    </w:p>
    <w:p w14:paraId="389F90D5" w14:textId="77777777" w:rsidR="00AC1A05" w:rsidRDefault="00AC1A05" w:rsidP="00CC6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В-третьих, Отраслевая программа содержит положения, направленные на организацию соблюдения требований не только российского законодательства, но и правил международных стандартов. Далее эта особенность рассматривается более подробно на примере отдельных направлений Отраслевой программы. </w:t>
      </w:r>
    </w:p>
    <w:p w14:paraId="5C841956" w14:textId="77777777" w:rsidR="00AC1A05" w:rsidRPr="000553E8" w:rsidRDefault="00AC1A05" w:rsidP="00CC66BC">
      <w:pPr>
        <w:ind w:firstLine="708"/>
        <w:jc w:val="both"/>
        <w:rPr>
          <w:sz w:val="28"/>
          <w:szCs w:val="28"/>
        </w:rPr>
      </w:pPr>
    </w:p>
    <w:p w14:paraId="52CCEFE7" w14:textId="77777777" w:rsidR="00AC1A05" w:rsidRPr="00B50B7D" w:rsidRDefault="00AC1A05" w:rsidP="00CC66BC">
      <w:pPr>
        <w:pStyle w:val="a4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0B7D">
        <w:rPr>
          <w:rFonts w:ascii="Times New Roman" w:hAnsi="Times New Roman" w:cs="Times New Roman"/>
          <w:i/>
          <w:iCs/>
          <w:sz w:val="28"/>
          <w:szCs w:val="28"/>
        </w:rPr>
        <w:t xml:space="preserve">Отраслевая программа и международные стандарты </w:t>
      </w:r>
    </w:p>
    <w:p w14:paraId="1B1C4DD5" w14:textId="59F1F980" w:rsidR="00AC1A05" w:rsidRPr="00D178A7" w:rsidRDefault="00AC1A05" w:rsidP="00D178A7">
      <w:pPr>
        <w:jc w:val="both"/>
        <w:rPr>
          <w:i/>
          <w:iCs/>
          <w:sz w:val="28"/>
          <w:szCs w:val="28"/>
        </w:rPr>
      </w:pPr>
    </w:p>
    <w:p w14:paraId="27E2A0D9" w14:textId="384B87F1" w:rsidR="00AC1A05" w:rsidRPr="00FB0098" w:rsidRDefault="00AC1A05" w:rsidP="00CC66B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Первое н</w:t>
      </w:r>
      <w:r w:rsidRPr="00B50B7D">
        <w:rPr>
          <w:sz w:val="28"/>
          <w:szCs w:val="28"/>
        </w:rPr>
        <w:t xml:space="preserve">аправление </w:t>
      </w:r>
      <w:r>
        <w:rPr>
          <w:sz w:val="28"/>
          <w:szCs w:val="28"/>
        </w:rPr>
        <w:t xml:space="preserve">в Отраслевой программе </w:t>
      </w:r>
      <w:r w:rsidRPr="00B50B7D">
        <w:rPr>
          <w:sz w:val="28"/>
          <w:szCs w:val="28"/>
        </w:rPr>
        <w:t xml:space="preserve">«Лидерство руководства» </w:t>
      </w:r>
      <w:r>
        <w:rPr>
          <w:sz w:val="28"/>
          <w:szCs w:val="28"/>
        </w:rPr>
        <w:t xml:space="preserve">включает в себя важнейшие требования международных стандартов, связанные с установлением роли и компетенции менеджмента организации в системе управления антикоррупционным комплаенсом и формировании этической культуры. </w:t>
      </w:r>
      <w:r>
        <w:rPr>
          <w:color w:val="000000"/>
          <w:sz w:val="28"/>
          <w:szCs w:val="28"/>
        </w:rPr>
        <w:t xml:space="preserve">Следует отметить, что правила раздела 5 «Лидерство» в стандарте </w:t>
      </w:r>
      <w:r>
        <w:rPr>
          <w:color w:val="000000"/>
          <w:sz w:val="28"/>
          <w:szCs w:val="28"/>
          <w:lang w:val="en-US"/>
        </w:rPr>
        <w:t>ISO</w:t>
      </w:r>
      <w:r w:rsidRPr="00E444DA">
        <w:rPr>
          <w:color w:val="000000"/>
          <w:sz w:val="28"/>
          <w:szCs w:val="28"/>
        </w:rPr>
        <w:t xml:space="preserve"> 37000:2016 </w:t>
      </w:r>
      <w:r>
        <w:rPr>
          <w:color w:val="000000"/>
          <w:sz w:val="28"/>
          <w:szCs w:val="28"/>
        </w:rPr>
        <w:t xml:space="preserve">содержат положение, корреспондирующее </w:t>
      </w:r>
      <w:proofErr w:type="gramStart"/>
      <w:r>
        <w:rPr>
          <w:color w:val="000000"/>
          <w:sz w:val="28"/>
          <w:szCs w:val="28"/>
        </w:rPr>
        <w:t xml:space="preserve">с </w:t>
      </w:r>
      <w:r w:rsidR="00EC45BD">
        <w:rPr>
          <w:color w:val="000000"/>
          <w:sz w:val="28"/>
          <w:szCs w:val="28"/>
        </w:rPr>
        <w:t xml:space="preserve"> соответствующим</w:t>
      </w:r>
      <w:proofErr w:type="gramEnd"/>
      <w:r w:rsidR="00EC45BD">
        <w:rPr>
          <w:color w:val="000000"/>
          <w:sz w:val="28"/>
          <w:szCs w:val="28"/>
        </w:rPr>
        <w:t xml:space="preserve"> разделом </w:t>
      </w:r>
      <w:r>
        <w:rPr>
          <w:color w:val="000000"/>
          <w:sz w:val="28"/>
          <w:szCs w:val="28"/>
        </w:rPr>
        <w:t xml:space="preserve"> Отраслевой программы, а именно: </w:t>
      </w:r>
      <w:r w:rsidRPr="00FB0098">
        <w:rPr>
          <w:sz w:val="28"/>
          <w:szCs w:val="28"/>
        </w:rPr>
        <w:t xml:space="preserve">«Высшее руководство должно </w:t>
      </w:r>
      <w:r w:rsidRPr="00FB0098">
        <w:rPr>
          <w:sz w:val="28"/>
          <w:szCs w:val="28"/>
        </w:rPr>
        <w:lastRenderedPageBreak/>
        <w:t>демонстрировать лидерство и приверженность в отношении системы менеджмента противодействия коррупции…</w:t>
      </w:r>
      <w:r w:rsidR="00DC40A3">
        <w:rPr>
          <w:sz w:val="28"/>
          <w:szCs w:val="28"/>
        </w:rPr>
        <w:t>»</w:t>
      </w:r>
      <w:r w:rsidRPr="00FB0098">
        <w:rPr>
          <w:rStyle w:val="a8"/>
          <w:sz w:val="28"/>
          <w:szCs w:val="28"/>
        </w:rPr>
        <w:footnoteReference w:id="2"/>
      </w:r>
      <w:r w:rsidRPr="00FB0098">
        <w:rPr>
          <w:sz w:val="28"/>
          <w:szCs w:val="28"/>
        </w:rPr>
        <w:t xml:space="preserve">. </w:t>
      </w:r>
    </w:p>
    <w:p w14:paraId="3C416EB6" w14:textId="1C4F1986" w:rsidR="00AC1A05" w:rsidRDefault="00AC1A05" w:rsidP="00CC66BC">
      <w:pPr>
        <w:pStyle w:val="a3"/>
        <w:ind w:firstLine="708"/>
        <w:jc w:val="both"/>
        <w:rPr>
          <w:sz w:val="28"/>
          <w:szCs w:val="28"/>
        </w:rPr>
      </w:pPr>
      <w:r w:rsidRPr="00746940">
        <w:rPr>
          <w:sz w:val="28"/>
          <w:szCs w:val="28"/>
        </w:rPr>
        <w:t xml:space="preserve">Развивая </w:t>
      </w:r>
      <w:r>
        <w:rPr>
          <w:sz w:val="28"/>
          <w:szCs w:val="28"/>
        </w:rPr>
        <w:t xml:space="preserve">требования международного стандарта, Отраслевая программа определяет, что руководство </w:t>
      </w:r>
      <w:r w:rsidRPr="00746940">
        <w:rPr>
          <w:sz w:val="28"/>
          <w:szCs w:val="28"/>
        </w:rPr>
        <w:t xml:space="preserve">организации </w:t>
      </w:r>
      <w:r w:rsidRPr="00E444DA">
        <w:rPr>
          <w:sz w:val="28"/>
          <w:szCs w:val="28"/>
        </w:rPr>
        <w:t>обеспечивает внедрение Отраслевой программы, пред</w:t>
      </w:r>
      <w:r w:rsidR="00FB0098">
        <w:rPr>
          <w:sz w:val="28"/>
          <w:szCs w:val="28"/>
        </w:rPr>
        <w:t xml:space="preserve">оставляя </w:t>
      </w:r>
      <w:r w:rsidRPr="00E444DA">
        <w:rPr>
          <w:sz w:val="28"/>
          <w:szCs w:val="28"/>
        </w:rPr>
        <w:t xml:space="preserve">необходимые ресурсы (человеческие, технические, административные) для ее реализации. </w:t>
      </w:r>
      <w:r w:rsidRPr="00746940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746940">
        <w:rPr>
          <w:sz w:val="28"/>
          <w:szCs w:val="28"/>
        </w:rPr>
        <w:t xml:space="preserve"> руководство должно обеспечить </w:t>
      </w:r>
      <w:r w:rsidRPr="00FB0098">
        <w:rPr>
          <w:sz w:val="28"/>
          <w:szCs w:val="28"/>
        </w:rPr>
        <w:t>«межфункциональную координацию при периодической оценке коррупционных рисков и эффективное взаимодействие всех вовлеченных служб в мероприятия по снижению идентифицированных рисков»</w:t>
      </w:r>
      <w:r w:rsidRPr="00FB0098">
        <w:rPr>
          <w:rStyle w:val="a8"/>
          <w:sz w:val="28"/>
          <w:szCs w:val="28"/>
        </w:rPr>
        <w:footnoteReference w:id="3"/>
      </w:r>
      <w:r w:rsidRPr="00FB0098">
        <w:rPr>
          <w:sz w:val="28"/>
          <w:szCs w:val="28"/>
        </w:rPr>
        <w:t>.</w:t>
      </w:r>
      <w:r w:rsidRPr="00E44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Международный стандарт устанавливает в этом смысле требования, включающие в себя обязанность </w:t>
      </w:r>
      <w:r w:rsidRPr="001F0E1F">
        <w:rPr>
          <w:sz w:val="28"/>
          <w:szCs w:val="28"/>
        </w:rPr>
        <w:t>руководства организации выдел</w:t>
      </w:r>
      <w:r>
        <w:rPr>
          <w:sz w:val="28"/>
          <w:szCs w:val="28"/>
        </w:rPr>
        <w:t>я</w:t>
      </w:r>
      <w:r w:rsidRPr="001F0E1F">
        <w:rPr>
          <w:sz w:val="28"/>
          <w:szCs w:val="28"/>
        </w:rPr>
        <w:t xml:space="preserve">ть </w:t>
      </w:r>
      <w:r w:rsidRPr="00742652">
        <w:rPr>
          <w:sz w:val="28"/>
          <w:szCs w:val="28"/>
        </w:rPr>
        <w:t>адекватны</w:t>
      </w:r>
      <w:r w:rsidRPr="001F0E1F">
        <w:rPr>
          <w:sz w:val="28"/>
          <w:szCs w:val="28"/>
        </w:rPr>
        <w:t>е</w:t>
      </w:r>
      <w:r w:rsidRPr="00742652">
        <w:rPr>
          <w:sz w:val="28"/>
          <w:szCs w:val="28"/>
        </w:rPr>
        <w:t xml:space="preserve"> и надлежащи</w:t>
      </w:r>
      <w:r w:rsidRPr="001F0E1F">
        <w:rPr>
          <w:sz w:val="28"/>
          <w:szCs w:val="28"/>
        </w:rPr>
        <w:t>е</w:t>
      </w:r>
      <w:r w:rsidRPr="00742652">
        <w:rPr>
          <w:sz w:val="28"/>
          <w:szCs w:val="28"/>
        </w:rPr>
        <w:t xml:space="preserve"> ресурс</w:t>
      </w:r>
      <w:r w:rsidRPr="001F0E1F">
        <w:rPr>
          <w:sz w:val="28"/>
          <w:szCs w:val="28"/>
        </w:rPr>
        <w:t>ы</w:t>
      </w:r>
      <w:r w:rsidRPr="00742652">
        <w:rPr>
          <w:sz w:val="28"/>
          <w:szCs w:val="28"/>
        </w:rPr>
        <w:t xml:space="preserve"> для результативного функционирования системы менеджмента противодействия коррупции</w:t>
      </w:r>
      <w:r>
        <w:rPr>
          <w:sz w:val="28"/>
          <w:szCs w:val="28"/>
        </w:rPr>
        <w:t>,</w:t>
      </w:r>
      <w:r w:rsidRPr="001F0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интеграцию требований системы менеджмента противодействием коррупции в процессы организации </w:t>
      </w:r>
      <w:r>
        <w:rPr>
          <w:rStyle w:val="a8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14:paraId="1D83E336" w14:textId="524ACE8A" w:rsidR="00AC1A05" w:rsidRPr="005A406A" w:rsidRDefault="00AC1A05" w:rsidP="00DC40A3">
      <w:pPr>
        <w:pStyle w:val="a3"/>
        <w:ind w:firstLine="708"/>
        <w:jc w:val="both"/>
      </w:pPr>
      <w:r>
        <w:rPr>
          <w:sz w:val="28"/>
          <w:szCs w:val="28"/>
        </w:rPr>
        <w:t xml:space="preserve">Во втором направлении Отраслевой программы под названием «Организация функции антикоррупционного комплаенса и деловой этики» хотелось бы выделить положения, касающееся принципов организации этого подразделения, а именно: </w:t>
      </w:r>
      <w:r w:rsidRPr="00D731CE">
        <w:rPr>
          <w:sz w:val="28"/>
          <w:szCs w:val="28"/>
        </w:rPr>
        <w:t>«Руководитель Отраслевой комплаенс-функции наделен необходимыми полномочиями и обладает независимостью в принятии решений</w:t>
      </w:r>
      <w:r>
        <w:rPr>
          <w:sz w:val="28"/>
          <w:szCs w:val="28"/>
        </w:rPr>
        <w:t>»</w:t>
      </w:r>
      <w:r>
        <w:rPr>
          <w:rStyle w:val="a8"/>
          <w:sz w:val="28"/>
          <w:szCs w:val="28"/>
        </w:rPr>
        <w:footnoteReference w:id="5"/>
      </w:r>
      <w:r>
        <w:rPr>
          <w:sz w:val="28"/>
          <w:szCs w:val="28"/>
        </w:rPr>
        <w:t xml:space="preserve">, а также положение о том, что </w:t>
      </w:r>
      <w:r w:rsidRPr="005A406A">
        <w:rPr>
          <w:sz w:val="28"/>
          <w:szCs w:val="28"/>
        </w:rPr>
        <w:t>«Отраслевая комплаенс-функция обеспечивается ресурсами, достаточными для реализации Отраслевой программы</w:t>
      </w:r>
      <w:r>
        <w:rPr>
          <w:sz w:val="28"/>
          <w:szCs w:val="28"/>
        </w:rPr>
        <w:t>»</w:t>
      </w:r>
      <w:r>
        <w:rPr>
          <w:rStyle w:val="a8"/>
          <w:sz w:val="28"/>
          <w:szCs w:val="28"/>
        </w:rPr>
        <w:footnoteReference w:id="6"/>
      </w:r>
      <w:r w:rsidRPr="005A406A">
        <w:rPr>
          <w:sz w:val="28"/>
          <w:szCs w:val="28"/>
        </w:rPr>
        <w:t>.</w:t>
      </w:r>
      <w:r w:rsidRPr="005A406A">
        <w:rPr>
          <w:rFonts w:ascii="MoscowSans" w:hAnsi="MoscowSans"/>
          <w:sz w:val="16"/>
          <w:szCs w:val="16"/>
        </w:rPr>
        <w:t xml:space="preserve"> </w:t>
      </w:r>
      <w:r>
        <w:rPr>
          <w:sz w:val="28"/>
          <w:szCs w:val="28"/>
        </w:rPr>
        <w:t xml:space="preserve">В стандарте </w:t>
      </w:r>
      <w:r>
        <w:rPr>
          <w:sz w:val="28"/>
          <w:szCs w:val="28"/>
          <w:lang w:val="en-US"/>
        </w:rPr>
        <w:t>ISO</w:t>
      </w:r>
      <w:r w:rsidRPr="00D731CE">
        <w:rPr>
          <w:sz w:val="28"/>
          <w:szCs w:val="28"/>
        </w:rPr>
        <w:t xml:space="preserve"> </w:t>
      </w:r>
      <w:r w:rsidRPr="00F86A79">
        <w:rPr>
          <w:sz w:val="28"/>
          <w:szCs w:val="28"/>
        </w:rPr>
        <w:t>37001:2016</w:t>
      </w:r>
      <w:r w:rsidRPr="005A406A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найти корреспондирующее положение в п. 5.3.2</w:t>
      </w:r>
      <w:r w:rsidRPr="005A406A">
        <w:rPr>
          <w:sz w:val="28"/>
          <w:szCs w:val="28"/>
        </w:rPr>
        <w:t>:</w:t>
      </w:r>
      <w:proofErr w:type="gramStart"/>
      <w:r w:rsidRPr="005A406A">
        <w:rPr>
          <w:sz w:val="28"/>
          <w:szCs w:val="28"/>
        </w:rPr>
        <w:t xml:space="preserve">   «</w:t>
      </w:r>
      <w:proofErr w:type="gramEnd"/>
      <w:r w:rsidRPr="005A406A">
        <w:rPr>
          <w:sz w:val="28"/>
          <w:szCs w:val="28"/>
        </w:rPr>
        <w:t>Антикоррупционная служба должна быть обеспечена адекватными ресурсами, а назначенные лица должны быть наделены соответствующей компетентностью, статусом, полномочиями и независимостью»</w:t>
      </w:r>
      <w:r w:rsidRPr="005A406A">
        <w:rPr>
          <w:rStyle w:val="a8"/>
          <w:sz w:val="28"/>
          <w:szCs w:val="28"/>
        </w:rPr>
        <w:footnoteReference w:id="7"/>
      </w:r>
      <w:r>
        <w:rPr>
          <w:sz w:val="28"/>
          <w:szCs w:val="28"/>
        </w:rPr>
        <w:t>.</w:t>
      </w:r>
      <w:r w:rsidRPr="005A406A">
        <w:rPr>
          <w:sz w:val="28"/>
          <w:szCs w:val="28"/>
        </w:rPr>
        <w:t xml:space="preserve"> </w:t>
      </w:r>
    </w:p>
    <w:p w14:paraId="67B059C5" w14:textId="77777777" w:rsidR="00AC1A05" w:rsidRPr="00E22AD6" w:rsidRDefault="00AC1A05" w:rsidP="00CC66B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Отраслевая программа содержит подробный перечень обязанностей и прав руководителя комплаенс-функции</w:t>
      </w:r>
      <w:r>
        <w:rPr>
          <w:rStyle w:val="a8"/>
          <w:sz w:val="28"/>
          <w:szCs w:val="28"/>
        </w:rPr>
        <w:footnoteReference w:id="8"/>
      </w:r>
      <w:r>
        <w:rPr>
          <w:sz w:val="28"/>
          <w:szCs w:val="28"/>
        </w:rPr>
        <w:t>, который в значительной части совпадает с содержанием компетенций комплаенс-подразделения, перечисленных, в частности, в п 5.3.2. «Антикоррупционная служба» международного стандарта</w:t>
      </w:r>
      <w:r>
        <w:rPr>
          <w:rStyle w:val="a8"/>
          <w:sz w:val="28"/>
          <w:szCs w:val="28"/>
        </w:rPr>
        <w:footnoteReference w:id="9"/>
      </w:r>
      <w:r>
        <w:rPr>
          <w:sz w:val="28"/>
          <w:szCs w:val="28"/>
        </w:rPr>
        <w:t xml:space="preserve">. </w:t>
      </w:r>
    </w:p>
    <w:p w14:paraId="7370BB85" w14:textId="77777777" w:rsidR="00AC1A05" w:rsidRDefault="00AC1A05" w:rsidP="00CC66BC">
      <w:pPr>
        <w:pStyle w:val="a3"/>
        <w:ind w:firstLine="708"/>
        <w:jc w:val="both"/>
        <w:rPr>
          <w:rFonts w:ascii="Calibri" w:hAnsi="Calibri" w:cs="Calibri"/>
          <w:sz w:val="28"/>
          <w:szCs w:val="28"/>
        </w:rPr>
      </w:pPr>
      <w:r w:rsidRPr="003151AA">
        <w:rPr>
          <w:sz w:val="28"/>
          <w:szCs w:val="28"/>
        </w:rPr>
        <w:lastRenderedPageBreak/>
        <w:t xml:space="preserve">Направление 3 </w:t>
      </w:r>
      <w:r>
        <w:rPr>
          <w:sz w:val="28"/>
          <w:szCs w:val="28"/>
        </w:rPr>
        <w:t>«</w:t>
      </w:r>
      <w:r w:rsidRPr="003151AA">
        <w:rPr>
          <w:sz w:val="28"/>
          <w:szCs w:val="28"/>
        </w:rPr>
        <w:t>Периодическая оценка рисков</w:t>
      </w:r>
      <w:r>
        <w:rPr>
          <w:sz w:val="28"/>
          <w:szCs w:val="28"/>
        </w:rPr>
        <w:t xml:space="preserve">» разработано в Отраслевой программе с учетом положений раздела </w:t>
      </w:r>
      <w:r w:rsidRPr="003151AA">
        <w:rPr>
          <w:sz w:val="28"/>
          <w:szCs w:val="28"/>
        </w:rPr>
        <w:t>4.5 «Оценка коррупционных рисков»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ISO</w:t>
      </w:r>
      <w:r w:rsidRPr="00D731CE">
        <w:rPr>
          <w:sz w:val="28"/>
          <w:szCs w:val="28"/>
        </w:rPr>
        <w:t xml:space="preserve"> </w:t>
      </w:r>
      <w:r w:rsidRPr="00F86A79">
        <w:rPr>
          <w:sz w:val="28"/>
          <w:szCs w:val="28"/>
        </w:rPr>
        <w:t>37001:2016</w:t>
      </w:r>
      <w:r>
        <w:rPr>
          <w:sz w:val="28"/>
          <w:szCs w:val="28"/>
        </w:rPr>
        <w:t xml:space="preserve">, в </w:t>
      </w:r>
      <w:r w:rsidRPr="00E22AD6">
        <w:rPr>
          <w:sz w:val="28"/>
          <w:szCs w:val="28"/>
        </w:rPr>
        <w:t>котором установлено, что  «Организация должна регулярно проводить оценку коррупционных рисков, которая должна: a) идентифицировать коррупционные риски…; b) анализировать, оценивать и расставлять по приоритетам идентифицированные коррупционные риски; c) определять пригодность и результативность существующих мер контроля в организации для снижения установленных коррупционных рисков.»</w:t>
      </w:r>
      <w:r w:rsidRPr="00E22AD6">
        <w:rPr>
          <w:rStyle w:val="a8"/>
          <w:sz w:val="28"/>
          <w:szCs w:val="28"/>
        </w:rPr>
        <w:footnoteReference w:id="10"/>
      </w:r>
      <w:r w:rsidRPr="00E22AD6">
        <w:rPr>
          <w:rFonts w:ascii="Calibri" w:hAnsi="Calibri" w:cs="Calibri"/>
          <w:sz w:val="28"/>
          <w:szCs w:val="28"/>
        </w:rPr>
        <w:t xml:space="preserve"> </w:t>
      </w:r>
    </w:p>
    <w:p w14:paraId="0758EA6F" w14:textId="2AB0F3A4" w:rsidR="00AC1A05" w:rsidRDefault="00AC1A05" w:rsidP="00D178A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Отраслевая программа в отношении коррупционных рисков отражает </w:t>
      </w:r>
      <w:r w:rsidR="00DC40A3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международного стандарта и фиксирует этапы оценки коррупционных рисков</w:t>
      </w:r>
      <w:r w:rsidR="00EC45BD">
        <w:rPr>
          <w:sz w:val="28"/>
          <w:szCs w:val="28"/>
        </w:rPr>
        <w:t>.</w:t>
      </w:r>
      <w:r>
        <w:rPr>
          <w:rStyle w:val="a8"/>
          <w:sz w:val="28"/>
          <w:szCs w:val="28"/>
        </w:rPr>
        <w:footnoteReference w:id="11"/>
      </w:r>
      <w:r w:rsidRPr="00251EE6">
        <w:rPr>
          <w:sz w:val="28"/>
          <w:szCs w:val="28"/>
        </w:rPr>
        <w:t xml:space="preserve"> </w:t>
      </w:r>
    </w:p>
    <w:p w14:paraId="67AC9472" w14:textId="63B295D6" w:rsidR="00AC1A05" w:rsidRDefault="00AC1A05" w:rsidP="00DC40A3">
      <w:pPr>
        <w:ind w:firstLine="708"/>
        <w:jc w:val="both"/>
        <w:rPr>
          <w:sz w:val="28"/>
          <w:szCs w:val="28"/>
        </w:rPr>
      </w:pPr>
      <w:r w:rsidRPr="00931386">
        <w:rPr>
          <w:sz w:val="28"/>
          <w:szCs w:val="28"/>
        </w:rPr>
        <w:t xml:space="preserve">В направлении 4 Отраслевой программы, которое носит название «Кодекс деловой этики и поведения, политики и процедуры», значительное внимание уделяется содержанию Кодекса деловой этики и поведения, а такой важный документ как Антикоррупционная политика </w:t>
      </w:r>
      <w:r>
        <w:rPr>
          <w:sz w:val="28"/>
          <w:szCs w:val="28"/>
        </w:rPr>
        <w:t xml:space="preserve">упоминается, но </w:t>
      </w:r>
      <w:r w:rsidR="00FB0098">
        <w:rPr>
          <w:sz w:val="28"/>
          <w:szCs w:val="28"/>
        </w:rPr>
        <w:t xml:space="preserve">содержание его </w:t>
      </w:r>
      <w:r w:rsidRPr="00931386">
        <w:rPr>
          <w:sz w:val="28"/>
          <w:szCs w:val="28"/>
        </w:rPr>
        <w:t>не раскрывается</w:t>
      </w:r>
      <w:r w:rsidR="00DC40A3">
        <w:rPr>
          <w:sz w:val="28"/>
          <w:szCs w:val="28"/>
        </w:rPr>
        <w:t>. О</w:t>
      </w:r>
      <w:r>
        <w:rPr>
          <w:sz w:val="28"/>
          <w:szCs w:val="28"/>
        </w:rPr>
        <w:t>днако</w:t>
      </w:r>
      <w:r w:rsidRPr="00931386">
        <w:rPr>
          <w:sz w:val="28"/>
          <w:szCs w:val="28"/>
        </w:rPr>
        <w:t xml:space="preserve"> этому </w:t>
      </w:r>
      <w:r w:rsidR="00FB0098">
        <w:rPr>
          <w:sz w:val="28"/>
          <w:szCs w:val="28"/>
        </w:rPr>
        <w:t xml:space="preserve">факту можно дать </w:t>
      </w:r>
      <w:r w:rsidRPr="00931386">
        <w:rPr>
          <w:sz w:val="28"/>
          <w:szCs w:val="28"/>
        </w:rPr>
        <w:t>логичное объяснение. Очевидно, что нет необходимости в Отраслевой программе приводить содержание этого довольно большого по объему внутреннего нормативного документа, имея в виду, что он входит в число обязательных политик и процедур, прямо перечисленных в Отраслевой программе в разделе «Обязательные локальные нормативные акты».</w:t>
      </w:r>
      <w:r w:rsidRPr="00931386">
        <w:rPr>
          <w:rStyle w:val="a8"/>
          <w:sz w:val="28"/>
          <w:szCs w:val="28"/>
        </w:rPr>
        <w:footnoteReference w:id="12"/>
      </w:r>
      <w:r w:rsidRPr="00931386">
        <w:rPr>
          <w:sz w:val="28"/>
          <w:szCs w:val="28"/>
        </w:rPr>
        <w:t xml:space="preserve"> Текст </w:t>
      </w:r>
      <w:r>
        <w:rPr>
          <w:sz w:val="28"/>
          <w:szCs w:val="28"/>
        </w:rPr>
        <w:t xml:space="preserve"> же </w:t>
      </w:r>
      <w:r w:rsidRPr="00931386">
        <w:rPr>
          <w:sz w:val="28"/>
          <w:szCs w:val="28"/>
        </w:rPr>
        <w:t>Антикоррупционной политики АНО «МДТО» доступен на веб-сайте этой организации.</w:t>
      </w:r>
      <w:r w:rsidRPr="00931386">
        <w:rPr>
          <w:rStyle w:val="a8"/>
          <w:sz w:val="28"/>
          <w:szCs w:val="28"/>
        </w:rPr>
        <w:footnoteReference w:id="13"/>
      </w:r>
      <w:r w:rsidRPr="00931386">
        <w:rPr>
          <w:sz w:val="28"/>
          <w:szCs w:val="28"/>
        </w:rPr>
        <w:t xml:space="preserve"> При анализе содержания Антикоррупционной политики обнаруживается высокая степень соответствия ее положений содержанию соответствующих положений стандарта </w:t>
      </w:r>
      <w:r w:rsidRPr="00931386">
        <w:rPr>
          <w:sz w:val="28"/>
          <w:szCs w:val="28"/>
          <w:lang w:val="en-US"/>
        </w:rPr>
        <w:t>ISO</w:t>
      </w:r>
      <w:r w:rsidRPr="00931386">
        <w:rPr>
          <w:sz w:val="28"/>
          <w:szCs w:val="28"/>
        </w:rPr>
        <w:t xml:space="preserve"> </w:t>
      </w:r>
      <w:r>
        <w:rPr>
          <w:sz w:val="28"/>
          <w:szCs w:val="28"/>
        </w:rPr>
        <w:t>37001</w:t>
      </w:r>
      <w:r w:rsidRPr="00931386">
        <w:rPr>
          <w:sz w:val="28"/>
          <w:szCs w:val="28"/>
        </w:rPr>
        <w:t xml:space="preserve">. Приведем </w:t>
      </w:r>
      <w:r>
        <w:rPr>
          <w:sz w:val="28"/>
          <w:szCs w:val="28"/>
        </w:rPr>
        <w:t xml:space="preserve">только два </w:t>
      </w:r>
      <w:r w:rsidRPr="00931386">
        <w:rPr>
          <w:sz w:val="28"/>
          <w:szCs w:val="28"/>
        </w:rPr>
        <w:t>пример</w:t>
      </w:r>
      <w:r>
        <w:rPr>
          <w:sz w:val="28"/>
          <w:szCs w:val="28"/>
        </w:rPr>
        <w:t>а</w:t>
      </w:r>
      <w:r w:rsidRPr="00931386">
        <w:rPr>
          <w:sz w:val="28"/>
          <w:szCs w:val="28"/>
        </w:rPr>
        <w:t>. Так, в п. 5.2. международного стандарта установлено, что «высшее руководство должно установить, поддерживать</w:t>
      </w:r>
      <w:r w:rsidRPr="00B20688">
        <w:rPr>
          <w:sz w:val="28"/>
          <w:szCs w:val="28"/>
        </w:rPr>
        <w:t xml:space="preserve"> и анализировать антикоррупционную политику, которая</w:t>
      </w:r>
      <w:r>
        <w:rPr>
          <w:sz w:val="28"/>
          <w:szCs w:val="28"/>
        </w:rPr>
        <w:t xml:space="preserve"> </w:t>
      </w:r>
      <w:r w:rsidRPr="00B20688">
        <w:rPr>
          <w:sz w:val="28"/>
          <w:szCs w:val="28"/>
        </w:rPr>
        <w:t>запрещает коррупцию</w:t>
      </w:r>
      <w:r>
        <w:rPr>
          <w:sz w:val="28"/>
          <w:szCs w:val="28"/>
        </w:rPr>
        <w:t xml:space="preserve">, </w:t>
      </w:r>
      <w:r w:rsidRPr="00B20688">
        <w:rPr>
          <w:sz w:val="28"/>
          <w:szCs w:val="28"/>
        </w:rPr>
        <w:t>требует выполнения законодательных норм по борьбе со коррупцией, применимых к организации</w:t>
      </w:r>
      <w:r>
        <w:rPr>
          <w:sz w:val="28"/>
          <w:szCs w:val="28"/>
        </w:rPr>
        <w:t>…»</w:t>
      </w:r>
      <w:r>
        <w:rPr>
          <w:rStyle w:val="a8"/>
          <w:sz w:val="28"/>
          <w:szCs w:val="28"/>
        </w:rPr>
        <w:footnoteReference w:id="14"/>
      </w:r>
      <w:r>
        <w:rPr>
          <w:sz w:val="28"/>
          <w:szCs w:val="28"/>
        </w:rPr>
        <w:t xml:space="preserve"> </w:t>
      </w:r>
      <w:r w:rsidRPr="005B3685">
        <w:rPr>
          <w:sz w:val="28"/>
          <w:szCs w:val="28"/>
        </w:rPr>
        <w:t>Аналогичные положения содержатся в разделе 3 Антикоррупционной политики АНО «МДТО</w:t>
      </w:r>
      <w:r w:rsidR="00DC40A3">
        <w:rPr>
          <w:sz w:val="28"/>
          <w:szCs w:val="28"/>
        </w:rPr>
        <w:t>»</w:t>
      </w:r>
      <w:r w:rsidR="00D178A7">
        <w:rPr>
          <w:rStyle w:val="a8"/>
          <w:sz w:val="28"/>
          <w:szCs w:val="28"/>
        </w:rPr>
        <w:footnoteReference w:id="15"/>
      </w:r>
      <w:r w:rsidR="00DC40A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 дальнейшего содержания п.5.2. стандарта </w:t>
      </w:r>
      <w:r>
        <w:rPr>
          <w:sz w:val="28"/>
          <w:szCs w:val="28"/>
          <w:lang w:val="en-US"/>
        </w:rPr>
        <w:t>ISO</w:t>
      </w:r>
      <w:r w:rsidRPr="001C0AE0">
        <w:rPr>
          <w:sz w:val="28"/>
          <w:szCs w:val="28"/>
        </w:rPr>
        <w:t xml:space="preserve"> 37001</w:t>
      </w:r>
      <w:r>
        <w:rPr>
          <w:sz w:val="28"/>
          <w:szCs w:val="28"/>
        </w:rPr>
        <w:t xml:space="preserve"> видны дополнительные требования к антикоррупционной политике, которые состоят в том, что высшее руководство </w:t>
      </w:r>
      <w:r>
        <w:rPr>
          <w:sz w:val="28"/>
          <w:szCs w:val="28"/>
        </w:rPr>
        <w:lastRenderedPageBreak/>
        <w:t xml:space="preserve">должно </w:t>
      </w:r>
      <w:r w:rsidRPr="00A927D3">
        <w:rPr>
          <w:sz w:val="28"/>
          <w:szCs w:val="28"/>
        </w:rPr>
        <w:t>включать обязательство постоянно улучшать систему менеджмента противодействия коррупции</w:t>
      </w:r>
      <w:r>
        <w:rPr>
          <w:rStyle w:val="a8"/>
          <w:sz w:val="28"/>
          <w:szCs w:val="28"/>
        </w:rPr>
        <w:footnoteReference w:id="16"/>
      </w:r>
      <w:r>
        <w:rPr>
          <w:sz w:val="28"/>
          <w:szCs w:val="28"/>
        </w:rPr>
        <w:t>, что соотносится с п. 3.1 Антикоррупционной политики</w:t>
      </w:r>
      <w:r w:rsidR="004124D1">
        <w:rPr>
          <w:sz w:val="28"/>
          <w:szCs w:val="28"/>
        </w:rPr>
        <w:t>.</w:t>
      </w:r>
      <w:r>
        <w:rPr>
          <w:rStyle w:val="a8"/>
          <w:sz w:val="28"/>
          <w:szCs w:val="28"/>
        </w:rPr>
        <w:footnoteReference w:id="17"/>
      </w:r>
      <w:r w:rsidRPr="00A927D3">
        <w:rPr>
          <w:sz w:val="28"/>
          <w:szCs w:val="28"/>
        </w:rPr>
        <w:t>.</w:t>
      </w:r>
    </w:p>
    <w:p w14:paraId="6B51E82E" w14:textId="40450A4C" w:rsidR="00CC66BC" w:rsidRDefault="00CC66BC" w:rsidP="00CC66BC">
      <w:pPr>
        <w:jc w:val="both"/>
        <w:rPr>
          <w:sz w:val="28"/>
          <w:szCs w:val="28"/>
        </w:rPr>
      </w:pPr>
    </w:p>
    <w:p w14:paraId="33A8DA81" w14:textId="552B2D8C" w:rsidR="00CC66BC" w:rsidRPr="00CC66BC" w:rsidRDefault="00CC66BC" w:rsidP="00CC66BC">
      <w:pPr>
        <w:jc w:val="both"/>
      </w:pPr>
      <w:r>
        <w:rPr>
          <w:sz w:val="28"/>
          <w:szCs w:val="28"/>
        </w:rPr>
        <w:tab/>
        <w:t xml:space="preserve">Итак, исходя из результатов приведенного анализа </w:t>
      </w:r>
      <w:r w:rsidR="00FB0098"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 xml:space="preserve">направлений Отраслевой программа на предмет корреспонденции с рекомендациями международного стандарта </w:t>
      </w:r>
      <w:r>
        <w:rPr>
          <w:sz w:val="28"/>
          <w:szCs w:val="28"/>
          <w:lang w:val="en-US"/>
        </w:rPr>
        <w:t>ISO</w:t>
      </w:r>
      <w:r w:rsidRPr="00CC6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37001:2016, можно сделать вывод о значительной степени их соответствия. </w:t>
      </w:r>
      <w:r w:rsidR="00F5144B">
        <w:rPr>
          <w:sz w:val="28"/>
          <w:szCs w:val="28"/>
        </w:rPr>
        <w:t>Вместе с тем</w:t>
      </w:r>
      <w:r>
        <w:rPr>
          <w:sz w:val="28"/>
          <w:szCs w:val="28"/>
        </w:rPr>
        <w:t xml:space="preserve"> остается поле для дальнейшего совершенствования Отраслевой программы и отработки ее содержания на предмет учета требования нового стандарта </w:t>
      </w:r>
      <w:r>
        <w:rPr>
          <w:sz w:val="28"/>
          <w:szCs w:val="28"/>
          <w:lang w:val="en-US"/>
        </w:rPr>
        <w:t>ISO</w:t>
      </w:r>
      <w:r w:rsidRPr="00CC6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37301:2021 «Системы управления комплаенсом. Требования с руководством по применению». </w:t>
      </w:r>
    </w:p>
    <w:p w14:paraId="62C7D904" w14:textId="77777777" w:rsidR="00AC1A05" w:rsidRPr="00A927D3" w:rsidRDefault="00AC1A05" w:rsidP="00CC66BC">
      <w:pPr>
        <w:ind w:firstLine="708"/>
        <w:jc w:val="both"/>
        <w:rPr>
          <w:sz w:val="28"/>
          <w:szCs w:val="28"/>
        </w:rPr>
      </w:pPr>
    </w:p>
    <w:p w14:paraId="64FF61FB" w14:textId="77777777" w:rsidR="00AC1A05" w:rsidRPr="00B50B7D" w:rsidRDefault="00AC1A05" w:rsidP="00F37E51">
      <w:pPr>
        <w:ind w:firstLine="708"/>
        <w:jc w:val="both"/>
        <w:rPr>
          <w:i/>
          <w:iCs/>
          <w:sz w:val="28"/>
          <w:szCs w:val="28"/>
        </w:rPr>
      </w:pPr>
      <w:r w:rsidRPr="00B50B7D">
        <w:rPr>
          <w:i/>
          <w:iCs/>
          <w:sz w:val="28"/>
          <w:szCs w:val="28"/>
        </w:rPr>
        <w:t xml:space="preserve">Сертификация по </w:t>
      </w:r>
      <w:r w:rsidRPr="00B50B7D">
        <w:rPr>
          <w:i/>
          <w:iCs/>
          <w:sz w:val="28"/>
          <w:szCs w:val="28"/>
          <w:lang w:val="en-US"/>
        </w:rPr>
        <w:t>ISO</w:t>
      </w:r>
      <w:r w:rsidRPr="00B50B7D">
        <w:rPr>
          <w:i/>
          <w:iCs/>
          <w:sz w:val="28"/>
          <w:szCs w:val="28"/>
        </w:rPr>
        <w:t xml:space="preserve"> </w:t>
      </w:r>
    </w:p>
    <w:p w14:paraId="345EC269" w14:textId="34AE2432" w:rsidR="00AC1A05" w:rsidRPr="001325FA" w:rsidRDefault="00AC1A05" w:rsidP="00F37E51">
      <w:pPr>
        <w:jc w:val="both"/>
        <w:rPr>
          <w:b/>
          <w:bCs/>
        </w:rPr>
      </w:pPr>
      <w:r>
        <w:rPr>
          <w:b/>
          <w:bCs/>
        </w:rPr>
        <w:tab/>
      </w:r>
    </w:p>
    <w:p w14:paraId="54F09C29" w14:textId="05A801CB" w:rsidR="00C259B5" w:rsidRPr="00127C66" w:rsidRDefault="00204A63" w:rsidP="00127C66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Сертификацию на соответствие международным стандартам можно отнести к области внешней независимой оценки, о которой говорится в направлении 11 Отраслевой программы.</w:t>
      </w:r>
      <w:r>
        <w:rPr>
          <w:rStyle w:val="a8"/>
          <w:sz w:val="28"/>
          <w:szCs w:val="28"/>
        </w:rPr>
        <w:footnoteReference w:id="18"/>
      </w:r>
      <w:r>
        <w:rPr>
          <w:sz w:val="28"/>
          <w:szCs w:val="28"/>
        </w:rPr>
        <w:t xml:space="preserve"> </w:t>
      </w:r>
      <w:r w:rsidR="00127C66">
        <w:rPr>
          <w:sz w:val="28"/>
          <w:szCs w:val="28"/>
        </w:rPr>
        <w:t>Как отмечается в Отраслевой программе, «с</w:t>
      </w:r>
      <w:r w:rsidRPr="00127C66">
        <w:rPr>
          <w:sz w:val="28"/>
          <w:szCs w:val="28"/>
        </w:rPr>
        <w:t>ертификация организации на соответствие международному стандарту ISO 37001:2016 Anti-bribery management systems «Системы менеджмента борьбы со взяточничеством» может быть продиктована необходимостью внешней независимой оценки уровня соответствия системы управления противодействием коррупции критериям данного стандарта.</w:t>
      </w:r>
      <w:r w:rsidR="00127C66">
        <w:rPr>
          <w:sz w:val="28"/>
          <w:szCs w:val="28"/>
        </w:rPr>
        <w:t>»</w:t>
      </w:r>
      <w:r w:rsidR="00127C66">
        <w:rPr>
          <w:rStyle w:val="a8"/>
          <w:sz w:val="28"/>
          <w:szCs w:val="28"/>
        </w:rPr>
        <w:footnoteReference w:id="19"/>
      </w:r>
      <w:r w:rsidRPr="00127C66">
        <w:rPr>
          <w:sz w:val="28"/>
          <w:szCs w:val="28"/>
        </w:rPr>
        <w:t xml:space="preserve"> </w:t>
      </w:r>
      <w:r w:rsidR="00197DCA" w:rsidRPr="00127C66">
        <w:rPr>
          <w:sz w:val="28"/>
          <w:szCs w:val="28"/>
        </w:rPr>
        <w:t xml:space="preserve">Данная сертификация представляется целесообразной, если организация уже имеет сертификации по другим международным стандартам или планируется активная внешнеторговая деятельность, или инвестиционный проект, в которых антикоррупционная сертификация по международному стандарту будет выглядеть убедительной для деловых партнеров. </w:t>
      </w:r>
      <w:r w:rsidR="00127C66">
        <w:rPr>
          <w:sz w:val="28"/>
          <w:szCs w:val="28"/>
        </w:rPr>
        <w:t xml:space="preserve">Кроме того, еще одним преимуществом сертификации по </w:t>
      </w:r>
      <w:r w:rsidR="00127C66" w:rsidRPr="00127C66">
        <w:rPr>
          <w:sz w:val="28"/>
          <w:szCs w:val="28"/>
        </w:rPr>
        <w:t>ISO 37001:2016</w:t>
      </w:r>
      <w:r w:rsidR="00127C66">
        <w:rPr>
          <w:sz w:val="28"/>
          <w:szCs w:val="28"/>
        </w:rPr>
        <w:t xml:space="preserve"> будет справедливая и </w:t>
      </w:r>
      <w:proofErr w:type="gramStart"/>
      <w:r w:rsidR="00127C66">
        <w:rPr>
          <w:sz w:val="28"/>
          <w:szCs w:val="28"/>
        </w:rPr>
        <w:t>объективная  оценка</w:t>
      </w:r>
      <w:proofErr w:type="gramEnd"/>
      <w:r w:rsidR="00127C66">
        <w:rPr>
          <w:sz w:val="28"/>
          <w:szCs w:val="28"/>
        </w:rPr>
        <w:t xml:space="preserve"> результатов деятельности организации по внедрению своей программы антикоррупционного комплаенса, такой как Отраслевая программа развития антикоррупционного комплаенса и деловой этики в организациях Московского транспорта. </w:t>
      </w:r>
    </w:p>
    <w:p w14:paraId="07C46570" w14:textId="615C473E" w:rsidR="00204A63" w:rsidRPr="00D178A7" w:rsidRDefault="00BB3E05" w:rsidP="00D178A7">
      <w:pPr>
        <w:pStyle w:val="a3"/>
        <w:ind w:firstLine="708"/>
        <w:rPr>
          <w:i/>
          <w:iCs/>
          <w:sz w:val="28"/>
          <w:szCs w:val="28"/>
        </w:rPr>
      </w:pPr>
      <w:r w:rsidRPr="00D178A7">
        <w:rPr>
          <w:i/>
          <w:iCs/>
          <w:sz w:val="28"/>
          <w:szCs w:val="28"/>
        </w:rPr>
        <w:t xml:space="preserve">Положительный эффект </w:t>
      </w:r>
    </w:p>
    <w:p w14:paraId="0CE05318" w14:textId="341E9192" w:rsidR="00265362" w:rsidRDefault="00974892" w:rsidP="00F7194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Тщательная разработка концепции </w:t>
      </w:r>
      <w:r w:rsidR="00C259B5" w:rsidRPr="00D178A7">
        <w:rPr>
          <w:color w:val="000000"/>
          <w:sz w:val="28"/>
          <w:szCs w:val="28"/>
        </w:rPr>
        <w:t>Отраслев</w:t>
      </w:r>
      <w:r>
        <w:rPr>
          <w:color w:val="000000"/>
          <w:sz w:val="28"/>
          <w:szCs w:val="28"/>
        </w:rPr>
        <w:t>ой</w:t>
      </w:r>
      <w:r w:rsidR="00C259B5" w:rsidRPr="00D178A7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ы, включение в нее требований ме</w:t>
      </w:r>
      <w:r w:rsidR="00265362">
        <w:rPr>
          <w:color w:val="000000"/>
          <w:sz w:val="28"/>
          <w:szCs w:val="28"/>
        </w:rPr>
        <w:t xml:space="preserve">ждународного </w:t>
      </w:r>
      <w:r w:rsidR="00DC40A3">
        <w:rPr>
          <w:color w:val="000000"/>
          <w:sz w:val="28"/>
          <w:szCs w:val="28"/>
        </w:rPr>
        <w:t>стандарта ISO</w:t>
      </w:r>
      <w:r w:rsidR="00265362" w:rsidRPr="00127C66">
        <w:rPr>
          <w:sz w:val="28"/>
          <w:szCs w:val="28"/>
        </w:rPr>
        <w:t xml:space="preserve"> 37001:2016 Anti-bribery management systems «Системы менеджмента борьбы со взяточничеством»</w:t>
      </w:r>
      <w:r w:rsidR="00265362">
        <w:rPr>
          <w:sz w:val="28"/>
          <w:szCs w:val="28"/>
        </w:rPr>
        <w:t xml:space="preserve">, </w:t>
      </w:r>
      <w:r w:rsidR="00265362">
        <w:rPr>
          <w:sz w:val="28"/>
          <w:szCs w:val="28"/>
        </w:rPr>
        <w:lastRenderedPageBreak/>
        <w:t>пилотное внедрение Отраслевой прогр</w:t>
      </w:r>
      <w:r w:rsidR="00D178A7">
        <w:rPr>
          <w:sz w:val="28"/>
          <w:szCs w:val="28"/>
        </w:rPr>
        <w:t>а</w:t>
      </w:r>
      <w:r w:rsidR="00265362">
        <w:rPr>
          <w:sz w:val="28"/>
          <w:szCs w:val="28"/>
        </w:rPr>
        <w:t>м</w:t>
      </w:r>
      <w:r w:rsidR="00F7194A">
        <w:rPr>
          <w:sz w:val="28"/>
          <w:szCs w:val="28"/>
        </w:rPr>
        <w:t>м</w:t>
      </w:r>
      <w:r w:rsidR="00265362">
        <w:rPr>
          <w:sz w:val="28"/>
          <w:szCs w:val="28"/>
        </w:rPr>
        <w:t xml:space="preserve">ы </w:t>
      </w:r>
      <w:r w:rsidR="00F7194A">
        <w:rPr>
          <w:sz w:val="28"/>
          <w:szCs w:val="28"/>
        </w:rPr>
        <w:t xml:space="preserve">в </w:t>
      </w:r>
      <w:r w:rsidR="00265362">
        <w:rPr>
          <w:sz w:val="28"/>
          <w:szCs w:val="28"/>
        </w:rPr>
        <w:t>АНО «</w:t>
      </w:r>
      <w:proofErr w:type="gramStart"/>
      <w:r w:rsidR="00265362">
        <w:rPr>
          <w:sz w:val="28"/>
          <w:szCs w:val="28"/>
        </w:rPr>
        <w:t>МДТО»  привели</w:t>
      </w:r>
      <w:proofErr w:type="gramEnd"/>
      <w:r w:rsidR="00265362">
        <w:rPr>
          <w:sz w:val="28"/>
          <w:szCs w:val="28"/>
        </w:rPr>
        <w:t xml:space="preserve"> к значим</w:t>
      </w:r>
      <w:r w:rsidR="00F7194A">
        <w:rPr>
          <w:sz w:val="28"/>
          <w:szCs w:val="28"/>
        </w:rPr>
        <w:t>ым</w:t>
      </w:r>
      <w:r w:rsidR="00265362">
        <w:rPr>
          <w:sz w:val="28"/>
          <w:szCs w:val="28"/>
        </w:rPr>
        <w:t xml:space="preserve"> практическ</w:t>
      </w:r>
      <w:r w:rsidR="00F7194A">
        <w:rPr>
          <w:sz w:val="28"/>
          <w:szCs w:val="28"/>
        </w:rPr>
        <w:t>им</w:t>
      </w:r>
      <w:r w:rsidR="00265362">
        <w:rPr>
          <w:sz w:val="28"/>
          <w:szCs w:val="28"/>
        </w:rPr>
        <w:t xml:space="preserve"> результат</w:t>
      </w:r>
      <w:r w:rsidR="00F7194A">
        <w:rPr>
          <w:sz w:val="28"/>
          <w:szCs w:val="28"/>
        </w:rPr>
        <w:t>ам</w:t>
      </w:r>
      <w:r w:rsidR="00265362">
        <w:rPr>
          <w:sz w:val="28"/>
          <w:szCs w:val="28"/>
        </w:rPr>
        <w:t xml:space="preserve">. </w:t>
      </w:r>
    </w:p>
    <w:p w14:paraId="73310FDE" w14:textId="77777777" w:rsidR="005A222E" w:rsidRDefault="005A222E" w:rsidP="005A222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Отраслевая программа получила одобрение и </w:t>
      </w:r>
      <w:proofErr w:type="gramStart"/>
      <w:r>
        <w:rPr>
          <w:color w:val="000000"/>
          <w:sz w:val="28"/>
          <w:szCs w:val="28"/>
        </w:rPr>
        <w:t>поддержку  со</w:t>
      </w:r>
      <w:proofErr w:type="gramEnd"/>
      <w:r>
        <w:rPr>
          <w:color w:val="000000"/>
          <w:sz w:val="28"/>
          <w:szCs w:val="28"/>
        </w:rPr>
        <w:t xml:space="preserve"> стороны профессионального сообщества на различных экспертных площадках - это профильные комитеты Торгово-промышленной палаты России и Московской Торгово-промышленной палаты,  Базельский институт управления (Швейцария) и Ассоциация этики бизнеса, комплаенса и КСО.</w:t>
      </w:r>
      <w:r>
        <w:rPr>
          <w:rStyle w:val="a8"/>
          <w:color w:val="000000"/>
          <w:sz w:val="28"/>
          <w:szCs w:val="28"/>
        </w:rPr>
        <w:footnoteReference w:id="20"/>
      </w:r>
      <w:r>
        <w:rPr>
          <w:color w:val="000000"/>
          <w:sz w:val="28"/>
          <w:szCs w:val="28"/>
        </w:rPr>
        <w:t xml:space="preserve">   </w:t>
      </w:r>
    </w:p>
    <w:p w14:paraId="00F52D4B" w14:textId="77777777" w:rsidR="005A222E" w:rsidRDefault="005A222E" w:rsidP="005A222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наш взгляд, Отраслевую программу следует отнести к лучшим практикам для включения в специальный обзор, подлежащий подготовке в соответствии с Национальным планом противодействия коррупции на 2021 – 2024 годы. </w:t>
      </w:r>
    </w:p>
    <w:p w14:paraId="0C91FA36" w14:textId="587C830B" w:rsidR="00974892" w:rsidRDefault="00F7194A" w:rsidP="0097489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A222E">
        <w:rPr>
          <w:color w:val="000000"/>
          <w:sz w:val="28"/>
          <w:szCs w:val="28"/>
        </w:rPr>
        <w:t>Успешное пилотное внедрение Отраслевой программы в АНО «МДТО» позволило Департаменту транспорта и развития дорожно-транспортной инфраструктуры города Москвы обоснованно включить в свой план противодействия коррупции на 2021-2024 годы мероприятия по внедрению требований международных стандартов</w:t>
      </w:r>
      <w:r w:rsidR="002B4288">
        <w:rPr>
          <w:color w:val="000000"/>
          <w:sz w:val="28"/>
          <w:szCs w:val="28"/>
        </w:rPr>
        <w:t xml:space="preserve">, систем антикоррупционного комплаенса и деловой этики в </w:t>
      </w:r>
      <w:proofErr w:type="gramStart"/>
      <w:r w:rsidR="002B4288">
        <w:rPr>
          <w:color w:val="000000"/>
          <w:sz w:val="28"/>
          <w:szCs w:val="28"/>
        </w:rPr>
        <w:t xml:space="preserve">подведомственных </w:t>
      </w:r>
      <w:r w:rsidR="005A222E">
        <w:rPr>
          <w:color w:val="000000"/>
          <w:sz w:val="28"/>
          <w:szCs w:val="28"/>
        </w:rPr>
        <w:t xml:space="preserve"> </w:t>
      </w:r>
      <w:r w:rsidR="002B4288">
        <w:rPr>
          <w:color w:val="000000"/>
          <w:sz w:val="28"/>
          <w:szCs w:val="28"/>
        </w:rPr>
        <w:t>организациях</w:t>
      </w:r>
      <w:proofErr w:type="gramEnd"/>
      <w:r w:rsidR="002B4288">
        <w:rPr>
          <w:color w:val="000000"/>
          <w:sz w:val="28"/>
          <w:szCs w:val="28"/>
        </w:rPr>
        <w:t>.</w:t>
      </w:r>
      <w:r w:rsidR="002B4288">
        <w:rPr>
          <w:rStyle w:val="a8"/>
          <w:color w:val="000000"/>
          <w:sz w:val="28"/>
          <w:szCs w:val="28"/>
        </w:rPr>
        <w:footnoteReference w:id="21"/>
      </w:r>
      <w:r w:rsidR="002B4288">
        <w:rPr>
          <w:color w:val="000000"/>
          <w:sz w:val="28"/>
          <w:szCs w:val="28"/>
        </w:rPr>
        <w:t xml:space="preserve"> </w:t>
      </w:r>
    </w:p>
    <w:p w14:paraId="594B46DF" w14:textId="2EB18338" w:rsidR="005A222E" w:rsidRDefault="002B4288" w:rsidP="0097489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Пожалуй, главным достижением </w:t>
      </w:r>
      <w:r w:rsidR="007D1AD1">
        <w:rPr>
          <w:color w:val="000000"/>
          <w:sz w:val="28"/>
          <w:szCs w:val="28"/>
        </w:rPr>
        <w:t>Отраслевой программы станет ее дальнейшее практическое внедрение в организациях Московского транспорта.   Этому будет способствовать активная поддержка со стороны АНО «МДТО</w:t>
      </w:r>
      <w:proofErr w:type="gramStart"/>
      <w:r w:rsidR="007D1AD1">
        <w:rPr>
          <w:color w:val="000000"/>
          <w:sz w:val="28"/>
          <w:szCs w:val="28"/>
        </w:rPr>
        <w:t>»:  на</w:t>
      </w:r>
      <w:proofErr w:type="gramEnd"/>
      <w:r w:rsidR="007D1AD1">
        <w:rPr>
          <w:color w:val="000000"/>
          <w:sz w:val="28"/>
          <w:szCs w:val="28"/>
        </w:rPr>
        <w:t xml:space="preserve"> сегодня эта организация уже подписала соглашения о сотрудничестве  с </w:t>
      </w:r>
      <w:r w:rsidR="007D1AD1" w:rsidRPr="00AF5BEF">
        <w:rPr>
          <w:color w:val="000000"/>
          <w:sz w:val="28"/>
          <w:szCs w:val="28"/>
        </w:rPr>
        <w:t xml:space="preserve">ГКУ </w:t>
      </w:r>
      <w:r w:rsidR="007D1AD1">
        <w:rPr>
          <w:color w:val="000000"/>
          <w:sz w:val="28"/>
          <w:szCs w:val="28"/>
        </w:rPr>
        <w:t>«</w:t>
      </w:r>
      <w:r w:rsidR="007D1AD1" w:rsidRPr="00AF5BEF">
        <w:rPr>
          <w:color w:val="000000"/>
          <w:sz w:val="28"/>
          <w:szCs w:val="28"/>
        </w:rPr>
        <w:t>Организатор перевозок</w:t>
      </w:r>
      <w:r w:rsidR="007D1AD1">
        <w:rPr>
          <w:color w:val="000000"/>
          <w:sz w:val="28"/>
          <w:szCs w:val="28"/>
        </w:rPr>
        <w:t>»</w:t>
      </w:r>
      <w:r w:rsidR="007D1AD1" w:rsidRPr="00AF5BEF">
        <w:rPr>
          <w:color w:val="000000"/>
          <w:sz w:val="28"/>
          <w:szCs w:val="28"/>
        </w:rPr>
        <w:t xml:space="preserve">, ГКУ «АМПП», </w:t>
      </w:r>
      <w:r w:rsidR="00DC40A3" w:rsidRPr="00AF5BEF">
        <w:rPr>
          <w:color w:val="000000"/>
          <w:sz w:val="28"/>
          <w:szCs w:val="28"/>
        </w:rPr>
        <w:t xml:space="preserve">ГКУ ЦОДД </w:t>
      </w:r>
      <w:r w:rsidR="00DC40A3">
        <w:rPr>
          <w:color w:val="000000"/>
          <w:sz w:val="28"/>
          <w:szCs w:val="28"/>
        </w:rPr>
        <w:t xml:space="preserve"> и </w:t>
      </w:r>
      <w:r w:rsidR="007D1AD1" w:rsidRPr="00AF5BEF">
        <w:rPr>
          <w:color w:val="000000"/>
          <w:sz w:val="28"/>
          <w:szCs w:val="28"/>
        </w:rPr>
        <w:t xml:space="preserve">ГУП </w:t>
      </w:r>
      <w:r w:rsidR="007D1AD1">
        <w:rPr>
          <w:color w:val="000000"/>
          <w:sz w:val="28"/>
          <w:szCs w:val="28"/>
        </w:rPr>
        <w:t>«</w:t>
      </w:r>
      <w:r w:rsidR="007D1AD1" w:rsidRPr="00AF5BEF">
        <w:rPr>
          <w:color w:val="000000"/>
          <w:sz w:val="28"/>
          <w:szCs w:val="28"/>
        </w:rPr>
        <w:t>Мосгортранс</w:t>
      </w:r>
      <w:r w:rsidR="007D1AD1">
        <w:rPr>
          <w:color w:val="000000"/>
          <w:sz w:val="28"/>
          <w:szCs w:val="28"/>
        </w:rPr>
        <w:t>»</w:t>
      </w:r>
      <w:r w:rsidR="00F414E6">
        <w:rPr>
          <w:rStyle w:val="a8"/>
          <w:color w:val="000000"/>
          <w:sz w:val="28"/>
          <w:szCs w:val="28"/>
        </w:rPr>
        <w:footnoteReference w:id="22"/>
      </w:r>
      <w:r w:rsidR="00DC40A3">
        <w:rPr>
          <w:color w:val="000000"/>
          <w:sz w:val="28"/>
          <w:szCs w:val="28"/>
        </w:rPr>
        <w:t xml:space="preserve">.  </w:t>
      </w:r>
      <w:r w:rsidR="007D1AD1">
        <w:rPr>
          <w:color w:val="000000"/>
          <w:sz w:val="28"/>
          <w:szCs w:val="28"/>
        </w:rPr>
        <w:t>.</w:t>
      </w:r>
    </w:p>
    <w:p w14:paraId="271FF335" w14:textId="77777777" w:rsidR="007D1AD1" w:rsidRPr="00D178A7" w:rsidRDefault="007D1AD1" w:rsidP="00D178A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5391DF1A" w14:textId="77777777" w:rsidR="00C259B5" w:rsidRPr="00D178A7" w:rsidRDefault="00C259B5" w:rsidP="00D178A7">
      <w:pPr>
        <w:shd w:val="clear" w:color="auto" w:fill="FFFFFF"/>
        <w:jc w:val="both"/>
        <w:rPr>
          <w:color w:val="000000"/>
          <w:sz w:val="28"/>
          <w:szCs w:val="28"/>
        </w:rPr>
      </w:pPr>
      <w:r w:rsidRPr="00D178A7">
        <w:rPr>
          <w:color w:val="000000"/>
          <w:sz w:val="28"/>
          <w:szCs w:val="28"/>
        </w:rPr>
        <w:t> </w:t>
      </w:r>
    </w:p>
    <w:p w14:paraId="54C4FE71" w14:textId="14743A0E" w:rsidR="007A4F64" w:rsidRPr="00D178A7" w:rsidRDefault="007A4F64" w:rsidP="00F37E51">
      <w:pPr>
        <w:jc w:val="both"/>
        <w:rPr>
          <w:sz w:val="28"/>
          <w:szCs w:val="28"/>
        </w:rPr>
      </w:pPr>
    </w:p>
    <w:sectPr w:rsidR="007A4F64" w:rsidRPr="00D178A7" w:rsidSect="0080395B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3944" w14:textId="77777777" w:rsidR="00B134F7" w:rsidRDefault="00B134F7" w:rsidP="00AC1A05">
      <w:r>
        <w:separator/>
      </w:r>
    </w:p>
  </w:endnote>
  <w:endnote w:type="continuationSeparator" w:id="0">
    <w:p w14:paraId="476353F6" w14:textId="77777777" w:rsidR="00B134F7" w:rsidRDefault="00B134F7" w:rsidP="00AC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scow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22197809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BC59C8C" w14:textId="77777777" w:rsidR="0080395B" w:rsidRDefault="0085132F" w:rsidP="00BE70B7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77137C20" w14:textId="77777777" w:rsidR="0080395B" w:rsidRDefault="00B134F7" w:rsidP="0080395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8602916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7EE8528" w14:textId="77777777" w:rsidR="0080395B" w:rsidRDefault="0085132F" w:rsidP="00BE70B7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14775A9A" w14:textId="77777777" w:rsidR="0080395B" w:rsidRDefault="00B134F7" w:rsidP="0080395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A344" w14:textId="77777777" w:rsidR="00B134F7" w:rsidRDefault="00B134F7" w:rsidP="00AC1A05">
      <w:r>
        <w:separator/>
      </w:r>
    </w:p>
  </w:footnote>
  <w:footnote w:type="continuationSeparator" w:id="0">
    <w:p w14:paraId="4D486EAD" w14:textId="77777777" w:rsidR="00B134F7" w:rsidRDefault="00B134F7" w:rsidP="00AC1A05">
      <w:r>
        <w:continuationSeparator/>
      </w:r>
    </w:p>
  </w:footnote>
  <w:footnote w:id="1">
    <w:p w14:paraId="32550306" w14:textId="77777777" w:rsidR="00AC1A05" w:rsidRDefault="00AC1A05" w:rsidP="00AC1A05">
      <w:pPr>
        <w:ind w:firstLine="708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>
        <w:rPr>
          <w:sz w:val="28"/>
          <w:szCs w:val="28"/>
        </w:rPr>
        <w:t xml:space="preserve">Отраслевая программа доступна для ознакомления по ссылке </w:t>
      </w:r>
      <w:hyperlink r:id="rId1" w:history="1">
        <w:r w:rsidRPr="00AD693D">
          <w:rPr>
            <w:rStyle w:val="a5"/>
            <w:sz w:val="28"/>
            <w:szCs w:val="28"/>
          </w:rPr>
          <w:t>https://mdto.ru/assets/upload/%D0%9E%D1%82%D1%80%D0%B0%D1%81%D0%BB%D0%B5%D0%B2%D0%B0%D1%8F%20%D0%BF%D1%80%D0%BE%D0%B3%D1%80%D0%B0%D0%BC%D0%BC%D0%B0_15.03.2021.pdf</w:t>
        </w:r>
      </w:hyperlink>
    </w:p>
    <w:p w14:paraId="0261BE99" w14:textId="77777777" w:rsidR="00AC1A05" w:rsidRPr="00A84051" w:rsidRDefault="00AC1A05" w:rsidP="00AC1A05">
      <w:pPr>
        <w:ind w:firstLine="708"/>
        <w:rPr>
          <w:sz w:val="28"/>
          <w:szCs w:val="28"/>
        </w:rPr>
      </w:pPr>
    </w:p>
    <w:p w14:paraId="7AD996A5" w14:textId="77777777" w:rsidR="00AC1A05" w:rsidRDefault="00AC1A05" w:rsidP="00AC1A05">
      <w:pPr>
        <w:pStyle w:val="a6"/>
      </w:pPr>
    </w:p>
  </w:footnote>
  <w:footnote w:id="2">
    <w:p w14:paraId="14034B9A" w14:textId="77777777" w:rsidR="00AC1A05" w:rsidRPr="00F86A79" w:rsidRDefault="00AC1A05" w:rsidP="00AC1A0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F86A79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F86A79">
        <w:rPr>
          <w:rFonts w:ascii="Times New Roman" w:hAnsi="Times New Roman" w:cs="Times New Roman"/>
          <w:sz w:val="28"/>
          <w:szCs w:val="28"/>
        </w:rPr>
        <w:t xml:space="preserve"> 37001:2016, п.5.1.2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3">
    <w:p w14:paraId="5D7812C8" w14:textId="77777777" w:rsidR="00AC1A05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F86A79">
        <w:rPr>
          <w:rFonts w:ascii="Times New Roman" w:hAnsi="Times New Roman" w:cs="Times New Roman"/>
          <w:sz w:val="28"/>
          <w:szCs w:val="28"/>
        </w:rPr>
        <w:t>Отраслевая программа,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6A79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4">
    <w:p w14:paraId="62757991" w14:textId="77777777" w:rsidR="00AC1A05" w:rsidRPr="00D731CE" w:rsidRDefault="00AC1A05" w:rsidP="00AC1A05">
      <w:pPr>
        <w:pStyle w:val="a3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>
        <w:rPr>
          <w:sz w:val="28"/>
          <w:szCs w:val="28"/>
          <w:lang w:val="en-US"/>
        </w:rPr>
        <w:t>ISO</w:t>
      </w:r>
      <w:r w:rsidRPr="00F86A79">
        <w:rPr>
          <w:sz w:val="28"/>
          <w:szCs w:val="28"/>
        </w:rPr>
        <w:t xml:space="preserve"> 37001:2016</w:t>
      </w:r>
      <w:r>
        <w:rPr>
          <w:sz w:val="28"/>
          <w:szCs w:val="28"/>
        </w:rPr>
        <w:t>, п. 5.1.2.</w:t>
      </w:r>
      <w:r>
        <w:rPr>
          <w:sz w:val="28"/>
          <w:szCs w:val="28"/>
          <w:lang w:val="en-US"/>
        </w:rPr>
        <w:t>b</w:t>
      </w:r>
      <w:r w:rsidRPr="00F86A79">
        <w:rPr>
          <w:sz w:val="28"/>
          <w:szCs w:val="28"/>
        </w:rPr>
        <w:t>)</w:t>
      </w:r>
      <w:r>
        <w:rPr>
          <w:sz w:val="28"/>
          <w:szCs w:val="28"/>
        </w:rPr>
        <w:t xml:space="preserve"> и с)</w:t>
      </w:r>
    </w:p>
  </w:footnote>
  <w:footnote w:id="5">
    <w:p w14:paraId="4FC593A1" w14:textId="77777777" w:rsidR="00AC1A05" w:rsidRPr="000B3539" w:rsidRDefault="00AC1A05" w:rsidP="00AC1A05">
      <w:pPr>
        <w:pStyle w:val="a6"/>
      </w:pPr>
      <w:r>
        <w:rPr>
          <w:rStyle w:val="a8"/>
        </w:rPr>
        <w:footnoteRef/>
      </w:r>
      <w:r w:rsidRPr="00F86A79">
        <w:rPr>
          <w:rFonts w:ascii="Times New Roman" w:hAnsi="Times New Roman" w:cs="Times New Roman"/>
          <w:sz w:val="28"/>
          <w:szCs w:val="28"/>
        </w:rPr>
        <w:t>Отраслевая программа,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6A79">
        <w:rPr>
          <w:rFonts w:ascii="Times New Roman" w:hAnsi="Times New Roman" w:cs="Times New Roman"/>
          <w:sz w:val="28"/>
          <w:szCs w:val="28"/>
        </w:rPr>
        <w:t xml:space="preserve"> 1</w:t>
      </w:r>
      <w:r w:rsidRPr="000B35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</w:footnote>
  <w:footnote w:id="6">
    <w:p w14:paraId="69BD6D2A" w14:textId="77777777" w:rsidR="00AC1A05" w:rsidRPr="000B3539" w:rsidRDefault="00AC1A05" w:rsidP="00AC1A05">
      <w:pPr>
        <w:pStyle w:val="a6"/>
        <w:rPr>
          <w:rFonts w:ascii="Times New Roman" w:hAnsi="Times New Roman" w:cs="Times New Roman"/>
          <w:sz w:val="28"/>
          <w:szCs w:val="28"/>
        </w:rPr>
      </w:pPr>
      <w:r w:rsidRPr="000B3539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0B3539">
        <w:rPr>
          <w:rFonts w:ascii="Times New Roman" w:hAnsi="Times New Roman" w:cs="Times New Roman"/>
          <w:sz w:val="28"/>
          <w:szCs w:val="28"/>
        </w:rPr>
        <w:t xml:space="preserve"> Там же. </w:t>
      </w:r>
    </w:p>
  </w:footnote>
  <w:footnote w:id="7">
    <w:p w14:paraId="2311D0C2" w14:textId="77777777" w:rsidR="00AC1A05" w:rsidRPr="000B3539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5A406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5A406A">
        <w:rPr>
          <w:rFonts w:ascii="Times New Roman" w:hAnsi="Times New Roman" w:cs="Times New Roman"/>
          <w:sz w:val="28"/>
          <w:szCs w:val="28"/>
        </w:rPr>
        <w:t xml:space="preserve"> 37001:2016, п. 5.</w:t>
      </w:r>
      <w:r w:rsidRPr="000B3539">
        <w:rPr>
          <w:rFonts w:ascii="Times New Roman" w:hAnsi="Times New Roman" w:cs="Times New Roman"/>
          <w:sz w:val="28"/>
          <w:szCs w:val="28"/>
        </w:rPr>
        <w:t>3</w:t>
      </w:r>
      <w:r w:rsidRPr="005A406A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A406A">
        <w:rPr>
          <w:rFonts w:ascii="Times New Roman" w:hAnsi="Times New Roman" w:cs="Times New Roman"/>
          <w:sz w:val="28"/>
          <w:szCs w:val="28"/>
        </w:rPr>
        <w:t>)</w:t>
      </w:r>
    </w:p>
  </w:footnote>
  <w:footnote w:id="8">
    <w:p w14:paraId="7D82568C" w14:textId="77777777" w:rsidR="00AC1A05" w:rsidRPr="000B3539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F86A79">
        <w:rPr>
          <w:rFonts w:ascii="Times New Roman" w:hAnsi="Times New Roman" w:cs="Times New Roman"/>
          <w:sz w:val="28"/>
          <w:szCs w:val="28"/>
        </w:rPr>
        <w:t>Отраслевая программа,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86A79">
        <w:rPr>
          <w:rFonts w:ascii="Times New Roman" w:hAnsi="Times New Roman" w:cs="Times New Roman"/>
          <w:sz w:val="28"/>
          <w:szCs w:val="28"/>
        </w:rPr>
        <w:t xml:space="preserve"> 1</w:t>
      </w:r>
      <w:r w:rsidRPr="00473A7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-18. </w:t>
      </w:r>
    </w:p>
  </w:footnote>
  <w:footnote w:id="9">
    <w:p w14:paraId="0C3F4248" w14:textId="77777777" w:rsidR="00AC1A05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5A406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5A406A">
        <w:rPr>
          <w:rFonts w:ascii="Times New Roman" w:hAnsi="Times New Roman" w:cs="Times New Roman"/>
          <w:sz w:val="28"/>
          <w:szCs w:val="28"/>
        </w:rPr>
        <w:t xml:space="preserve"> 37001:2016, п. 5.</w:t>
      </w:r>
      <w:r w:rsidRPr="000B3539">
        <w:rPr>
          <w:rFonts w:ascii="Times New Roman" w:hAnsi="Times New Roman" w:cs="Times New Roman"/>
          <w:sz w:val="28"/>
          <w:szCs w:val="28"/>
        </w:rPr>
        <w:t>3</w:t>
      </w:r>
      <w:r w:rsidRPr="005A406A">
        <w:rPr>
          <w:rFonts w:ascii="Times New Roman" w:hAnsi="Times New Roman" w:cs="Times New Roman"/>
          <w:sz w:val="28"/>
          <w:szCs w:val="28"/>
        </w:rPr>
        <w:t>.2.</w:t>
      </w:r>
    </w:p>
  </w:footnote>
  <w:footnote w:id="10">
    <w:p w14:paraId="71DE7CB9" w14:textId="77777777" w:rsidR="00AC1A05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5A406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5A406A">
        <w:rPr>
          <w:rFonts w:ascii="Times New Roman" w:hAnsi="Times New Roman" w:cs="Times New Roman"/>
          <w:sz w:val="28"/>
          <w:szCs w:val="28"/>
        </w:rPr>
        <w:t xml:space="preserve"> 37001:2016, п. </w:t>
      </w:r>
      <w:r>
        <w:rPr>
          <w:rFonts w:ascii="Times New Roman" w:hAnsi="Times New Roman" w:cs="Times New Roman"/>
          <w:sz w:val="28"/>
          <w:szCs w:val="28"/>
        </w:rPr>
        <w:t>4.5.1.</w:t>
      </w:r>
    </w:p>
  </w:footnote>
  <w:footnote w:id="11">
    <w:p w14:paraId="7F63CABA" w14:textId="77777777" w:rsidR="00AC1A05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251EE6">
        <w:rPr>
          <w:rFonts w:ascii="Times New Roman" w:hAnsi="Times New Roman" w:cs="Times New Roman"/>
          <w:sz w:val="28"/>
          <w:szCs w:val="28"/>
        </w:rPr>
        <w:t>Отраслевая программа, с. 23</w:t>
      </w:r>
    </w:p>
  </w:footnote>
  <w:footnote w:id="12">
    <w:p w14:paraId="2D9F10B3" w14:textId="20A5E4D5" w:rsidR="00AC1A05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251EE6">
        <w:rPr>
          <w:rFonts w:ascii="Times New Roman" w:hAnsi="Times New Roman" w:cs="Times New Roman"/>
          <w:sz w:val="28"/>
          <w:szCs w:val="28"/>
        </w:rPr>
        <w:t>Отраслевая программа, с. 2</w:t>
      </w:r>
      <w:r>
        <w:rPr>
          <w:rFonts w:ascii="Times New Roman" w:hAnsi="Times New Roman" w:cs="Times New Roman"/>
          <w:sz w:val="28"/>
          <w:szCs w:val="28"/>
        </w:rPr>
        <w:t>8</w:t>
      </w:r>
    </w:p>
  </w:footnote>
  <w:footnote w:id="13">
    <w:p w14:paraId="4A507E11" w14:textId="77777777" w:rsidR="00AC1A05" w:rsidRPr="00493F4D" w:rsidRDefault="00AC1A05" w:rsidP="00AC1A0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hyperlink r:id="rId2" w:history="1">
        <w:r w:rsidRPr="00BE70B7">
          <w:rPr>
            <w:rStyle w:val="a5"/>
            <w:rFonts w:ascii="Times New Roman" w:hAnsi="Times New Roman" w:cs="Times New Roman"/>
            <w:sz w:val="28"/>
            <w:szCs w:val="28"/>
          </w:rPr>
          <w:t>https://mdto.ru/assets/upload/%D0%90%D0%BD%D1%82%D0%B8%D0%BA%D0%BE%D1%80%D1%80%D1%83%D0%BF%D1%86%D0%B8%D0%BE%D0%BD%D0%BD%D0%B0%D1%8F%20%D0%BF%D0%BE%D0%BB%D0%B8%D1%82%D0%B8%D0%BA%D0%B0.pdf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14">
    <w:p w14:paraId="0D012041" w14:textId="77777777" w:rsidR="00AC1A05" w:rsidRDefault="00AC1A05" w:rsidP="00AC1A05">
      <w:pPr>
        <w:pStyle w:val="a6"/>
      </w:pPr>
      <w:r>
        <w:rPr>
          <w:rStyle w:val="a8"/>
        </w:rPr>
        <w:footnoteRef/>
      </w:r>
      <w:r>
        <w:t xml:space="preserve">  </w:t>
      </w:r>
      <w:r w:rsidRPr="005A406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5A406A">
        <w:rPr>
          <w:rFonts w:ascii="Times New Roman" w:hAnsi="Times New Roman" w:cs="Times New Roman"/>
          <w:sz w:val="28"/>
          <w:szCs w:val="28"/>
        </w:rPr>
        <w:t xml:space="preserve"> 37001:2016, п. </w:t>
      </w:r>
      <w:r>
        <w:rPr>
          <w:rFonts w:ascii="Times New Roman" w:hAnsi="Times New Roman" w:cs="Times New Roman"/>
          <w:sz w:val="28"/>
          <w:szCs w:val="28"/>
        </w:rPr>
        <w:t>5.2.</w:t>
      </w:r>
    </w:p>
  </w:footnote>
  <w:footnote w:id="15">
    <w:p w14:paraId="6E260CB4" w14:textId="77777777" w:rsidR="00D178A7" w:rsidRPr="00CA5E7B" w:rsidRDefault="00D178A7" w:rsidP="00D178A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CA5E7B">
        <w:rPr>
          <w:rFonts w:ascii="Times New Roman" w:hAnsi="Times New Roman" w:cs="Times New Roman"/>
          <w:sz w:val="28"/>
          <w:szCs w:val="28"/>
        </w:rPr>
        <w:t>Антикоррупционная политика АНО «МДТО», с. 6</w:t>
      </w:r>
    </w:p>
    <w:p w14:paraId="6F694B43" w14:textId="44C23CB7" w:rsidR="00D178A7" w:rsidRDefault="00D178A7">
      <w:pPr>
        <w:pStyle w:val="a6"/>
      </w:pPr>
    </w:p>
  </w:footnote>
  <w:footnote w:id="16">
    <w:p w14:paraId="330C1F2E" w14:textId="77777777" w:rsidR="00AC1A05" w:rsidRPr="00A927D3" w:rsidRDefault="00AC1A05" w:rsidP="00AC1A05">
      <w:pPr>
        <w:pStyle w:val="a6"/>
      </w:pPr>
      <w:r>
        <w:rPr>
          <w:rStyle w:val="a8"/>
        </w:rPr>
        <w:footnoteRef/>
      </w:r>
      <w:r>
        <w:t xml:space="preserve"> </w:t>
      </w:r>
      <w:r w:rsidRPr="005A406A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5A406A">
        <w:rPr>
          <w:rFonts w:ascii="Times New Roman" w:hAnsi="Times New Roman" w:cs="Times New Roman"/>
          <w:sz w:val="28"/>
          <w:szCs w:val="28"/>
        </w:rPr>
        <w:t xml:space="preserve"> 37001:2016, п. </w:t>
      </w:r>
      <w:r>
        <w:rPr>
          <w:rFonts w:ascii="Times New Roman" w:hAnsi="Times New Roman" w:cs="Times New Roman"/>
          <w:sz w:val="28"/>
          <w:szCs w:val="28"/>
        </w:rPr>
        <w:t xml:space="preserve">5.2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1A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C1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Pr="00AC1A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</w:footnote>
  <w:footnote w:id="17">
    <w:p w14:paraId="731507D7" w14:textId="77777777" w:rsidR="00AC1A05" w:rsidRPr="00CA5E7B" w:rsidRDefault="00AC1A05" w:rsidP="00AC1A0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CA5E7B">
        <w:rPr>
          <w:rFonts w:ascii="Times New Roman" w:hAnsi="Times New Roman" w:cs="Times New Roman"/>
          <w:sz w:val="28"/>
          <w:szCs w:val="28"/>
        </w:rPr>
        <w:t xml:space="preserve">Антикоррупционная политика АНО «МДТО», с.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8DAC509" w14:textId="77777777" w:rsidR="00AC1A05" w:rsidRDefault="00AC1A05" w:rsidP="00AC1A05">
      <w:pPr>
        <w:pStyle w:val="a6"/>
      </w:pPr>
    </w:p>
  </w:footnote>
  <w:footnote w:id="18">
    <w:p w14:paraId="5D8755E9" w14:textId="27232842" w:rsidR="00204A63" w:rsidRDefault="00204A63">
      <w:pPr>
        <w:pStyle w:val="a6"/>
      </w:pPr>
      <w:r>
        <w:rPr>
          <w:rStyle w:val="a8"/>
        </w:rPr>
        <w:footnoteRef/>
      </w:r>
      <w:r>
        <w:t xml:space="preserve"> </w:t>
      </w:r>
      <w:r w:rsidRPr="00251EE6">
        <w:rPr>
          <w:rFonts w:ascii="Times New Roman" w:hAnsi="Times New Roman" w:cs="Times New Roman"/>
          <w:sz w:val="28"/>
          <w:szCs w:val="28"/>
        </w:rPr>
        <w:t xml:space="preserve">Отраслевая программа, с. </w:t>
      </w:r>
      <w:r>
        <w:rPr>
          <w:rFonts w:ascii="Times New Roman" w:hAnsi="Times New Roman" w:cs="Times New Roman"/>
          <w:sz w:val="28"/>
          <w:szCs w:val="28"/>
        </w:rPr>
        <w:t xml:space="preserve">75-77 </w:t>
      </w:r>
    </w:p>
  </w:footnote>
  <w:footnote w:id="19">
    <w:p w14:paraId="4158A87F" w14:textId="1A945419" w:rsidR="00127C66" w:rsidRPr="00DC40A3" w:rsidRDefault="00127C6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251EE6">
        <w:rPr>
          <w:rFonts w:ascii="Times New Roman" w:hAnsi="Times New Roman" w:cs="Times New Roman"/>
          <w:sz w:val="28"/>
          <w:szCs w:val="28"/>
        </w:rPr>
        <w:t>Отраслевая программа, с.</w:t>
      </w:r>
      <w:r>
        <w:rPr>
          <w:rFonts w:ascii="Times New Roman" w:hAnsi="Times New Roman" w:cs="Times New Roman"/>
          <w:sz w:val="28"/>
          <w:szCs w:val="28"/>
        </w:rPr>
        <w:t xml:space="preserve"> 77</w:t>
      </w:r>
    </w:p>
  </w:footnote>
  <w:footnote w:id="20">
    <w:p w14:paraId="3C3AA7F7" w14:textId="77777777" w:rsidR="005A222E" w:rsidRPr="00DC40A3" w:rsidRDefault="005A222E" w:rsidP="005A222E">
      <w:pPr>
        <w:pStyle w:val="a6"/>
        <w:rPr>
          <w:rFonts w:ascii="Times New Roman" w:hAnsi="Times New Roman" w:cs="Times New Roman"/>
          <w:sz w:val="28"/>
          <w:szCs w:val="28"/>
        </w:rPr>
      </w:pPr>
      <w:r w:rsidRPr="00DC40A3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DC40A3">
        <w:rPr>
          <w:rFonts w:ascii="Times New Roman" w:hAnsi="Times New Roman" w:cs="Times New Roman"/>
          <w:sz w:val="28"/>
          <w:szCs w:val="28"/>
        </w:rPr>
        <w:t xml:space="preserve">   </w:t>
      </w:r>
      <w:hyperlink r:id="rId3" w:history="1">
        <w:r w:rsidRPr="00DC40A3">
          <w:rPr>
            <w:rStyle w:val="a5"/>
            <w:rFonts w:ascii="Times New Roman" w:hAnsi="Times New Roman" w:cs="Times New Roman"/>
            <w:sz w:val="28"/>
            <w:szCs w:val="28"/>
          </w:rPr>
          <w:t>https://mostpp.ru/guilds_news/chleny-komiteta-oznakomilis-s-otraslevoy-programmoy-razvitiya-antikorruptsionnogo-komplaensa-i-delov/</w:t>
        </w:r>
      </w:hyperlink>
      <w:r w:rsidRPr="00DC40A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4A935C" w14:textId="77777777" w:rsidR="005A222E" w:rsidRPr="00DC40A3" w:rsidRDefault="00B134F7" w:rsidP="005A222E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</w:rPr>
          <w:t>https://org.tpprf.ru/committee/council_komplaens/post-release/2684304/</w:t>
        </w:r>
      </w:hyperlink>
      <w:r w:rsidR="005A222E" w:rsidRPr="00DC40A3">
        <w:rPr>
          <w:rFonts w:ascii="Times New Roman" w:hAnsi="Times New Roman" w:cs="Times New Roman"/>
          <w:sz w:val="28"/>
          <w:szCs w:val="28"/>
        </w:rPr>
        <w:t>;</w:t>
      </w:r>
    </w:p>
    <w:p w14:paraId="15040817" w14:textId="77777777" w:rsidR="005A222E" w:rsidRPr="00DC40A3" w:rsidRDefault="005A222E" w:rsidP="005A222E">
      <w:pPr>
        <w:pStyle w:val="a6"/>
        <w:rPr>
          <w:rFonts w:ascii="Times New Roman" w:hAnsi="Times New Roman" w:cs="Times New Roman"/>
          <w:sz w:val="28"/>
          <w:szCs w:val="28"/>
        </w:rPr>
      </w:pPr>
      <w:r w:rsidRPr="00DC40A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C40A3">
          <w:rPr>
            <w:rStyle w:val="a5"/>
            <w:rFonts w:ascii="Times New Roman" w:hAnsi="Times New Roman" w:cs="Times New Roman"/>
            <w:sz w:val="28"/>
            <w:szCs w:val="28"/>
          </w:rPr>
          <w:t>https://www.rben.ru/event-2021-04-22-23</w:t>
        </w:r>
      </w:hyperlink>
      <w:r w:rsidRPr="00DC40A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B721C3" w14:textId="77777777" w:rsidR="005A222E" w:rsidRPr="00DC40A3" w:rsidRDefault="00B134F7" w:rsidP="005A222E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rben</w:t>
        </w:r>
        <w:proofErr w:type="spellEnd"/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event</w:t>
        </w:r>
        <w:r w:rsidR="005A222E" w:rsidRPr="00DC40A3">
          <w:rPr>
            <w:rStyle w:val="a5"/>
            <w:rFonts w:ascii="Times New Roman" w:hAnsi="Times New Roman" w:cs="Times New Roman"/>
            <w:sz w:val="28"/>
            <w:szCs w:val="28"/>
          </w:rPr>
          <w:t>-2021-06-02</w:t>
        </w:r>
      </w:hyperlink>
      <w:r w:rsidR="005A222E" w:rsidRPr="00DC40A3">
        <w:rPr>
          <w:rFonts w:ascii="Times New Roman" w:hAnsi="Times New Roman" w:cs="Times New Roman"/>
          <w:sz w:val="28"/>
          <w:szCs w:val="28"/>
        </w:rPr>
        <w:t>;</w:t>
      </w:r>
    </w:p>
    <w:p w14:paraId="4A9713A6" w14:textId="77777777" w:rsidR="005A222E" w:rsidRPr="00DC40A3" w:rsidRDefault="005A222E" w:rsidP="005A222E">
      <w:pPr>
        <w:pStyle w:val="a6"/>
        <w:rPr>
          <w:rFonts w:ascii="Times New Roman" w:hAnsi="Times New Roman" w:cs="Times New Roman"/>
          <w:sz w:val="28"/>
          <w:szCs w:val="28"/>
        </w:rPr>
      </w:pPr>
      <w:r w:rsidRPr="00DC40A3">
        <w:rPr>
          <w:rFonts w:ascii="Times New Roman" w:hAnsi="Times New Roman" w:cs="Times New Roman"/>
          <w:sz w:val="28"/>
          <w:szCs w:val="28"/>
        </w:rPr>
        <w:t>https://baselgovernance.org/blog/developing-ethics-and-compliance-programme-moscow-city-transport-organisations-and-beyond</w:t>
      </w:r>
    </w:p>
  </w:footnote>
  <w:footnote w:id="21">
    <w:p w14:paraId="3BBC187C" w14:textId="36C52A50" w:rsidR="002B4288" w:rsidRPr="00DC40A3" w:rsidRDefault="002B4288">
      <w:pPr>
        <w:pStyle w:val="a6"/>
        <w:rPr>
          <w:rFonts w:ascii="Times New Roman" w:hAnsi="Times New Roman" w:cs="Times New Roman"/>
          <w:sz w:val="28"/>
          <w:szCs w:val="28"/>
        </w:rPr>
      </w:pPr>
      <w:r w:rsidRPr="00DC40A3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DC40A3">
        <w:rPr>
          <w:rFonts w:ascii="Times New Roman" w:hAnsi="Times New Roman" w:cs="Times New Roman"/>
          <w:sz w:val="28"/>
          <w:szCs w:val="28"/>
        </w:rPr>
        <w:t xml:space="preserve"> https://www.mos.ru/dt/documents/prikazy-i-rasporiazheniia-departamenta/view/258835220/</w:t>
      </w:r>
    </w:p>
  </w:footnote>
  <w:footnote w:id="22">
    <w:p w14:paraId="72192B79" w14:textId="5AB5F7C9" w:rsidR="00F414E6" w:rsidRPr="00DC40A3" w:rsidRDefault="00F414E6">
      <w:pPr>
        <w:pStyle w:val="a6"/>
        <w:rPr>
          <w:rFonts w:ascii="Times New Roman" w:hAnsi="Times New Roman" w:cs="Times New Roman"/>
          <w:sz w:val="28"/>
          <w:szCs w:val="28"/>
        </w:rPr>
      </w:pPr>
      <w:r w:rsidRPr="00DC40A3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DC40A3">
        <w:rPr>
          <w:rFonts w:ascii="Times New Roman" w:hAnsi="Times New Roman" w:cs="Times New Roman"/>
          <w:sz w:val="28"/>
          <w:szCs w:val="28"/>
        </w:rPr>
        <w:t xml:space="preserve"> https://mdto.ru/sobyitiya/ano-%C2%ABmdto%C2%BB-i-gup-%C2%ABmosgortrans%C2%BB-zaklyuchili-soglashenie-o-vzaimodejstvii-v-oblasti-antikorrupczionnogo-komplaensa.html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5452"/>
    <w:multiLevelType w:val="hybridMultilevel"/>
    <w:tmpl w:val="308A6D90"/>
    <w:lvl w:ilvl="0" w:tplc="713EFC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20E94255"/>
    <w:multiLevelType w:val="hybridMultilevel"/>
    <w:tmpl w:val="F4365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5"/>
    <w:rsid w:val="000050EF"/>
    <w:rsid w:val="00023272"/>
    <w:rsid w:val="000B1069"/>
    <w:rsid w:val="00127C66"/>
    <w:rsid w:val="00197DCA"/>
    <w:rsid w:val="001A7F29"/>
    <w:rsid w:val="001D14EE"/>
    <w:rsid w:val="00204A63"/>
    <w:rsid w:val="00265362"/>
    <w:rsid w:val="002B4288"/>
    <w:rsid w:val="002F0F0D"/>
    <w:rsid w:val="0031562E"/>
    <w:rsid w:val="004124D1"/>
    <w:rsid w:val="00460378"/>
    <w:rsid w:val="00506067"/>
    <w:rsid w:val="00551556"/>
    <w:rsid w:val="0055432C"/>
    <w:rsid w:val="005A222E"/>
    <w:rsid w:val="005A4055"/>
    <w:rsid w:val="00646704"/>
    <w:rsid w:val="00726DE1"/>
    <w:rsid w:val="007A4F64"/>
    <w:rsid w:val="007D1AD1"/>
    <w:rsid w:val="0085132F"/>
    <w:rsid w:val="008701D2"/>
    <w:rsid w:val="00974892"/>
    <w:rsid w:val="009C0AE1"/>
    <w:rsid w:val="009C190C"/>
    <w:rsid w:val="00AC1A05"/>
    <w:rsid w:val="00B131E0"/>
    <w:rsid w:val="00B134F7"/>
    <w:rsid w:val="00B13A08"/>
    <w:rsid w:val="00BB3E05"/>
    <w:rsid w:val="00C259B5"/>
    <w:rsid w:val="00C2744F"/>
    <w:rsid w:val="00CC66BC"/>
    <w:rsid w:val="00D178A7"/>
    <w:rsid w:val="00D413D5"/>
    <w:rsid w:val="00D60F32"/>
    <w:rsid w:val="00DC40A3"/>
    <w:rsid w:val="00DF070C"/>
    <w:rsid w:val="00E90E11"/>
    <w:rsid w:val="00EC45BD"/>
    <w:rsid w:val="00F37E51"/>
    <w:rsid w:val="00F414E6"/>
    <w:rsid w:val="00F5144B"/>
    <w:rsid w:val="00F7194A"/>
    <w:rsid w:val="00FB0098"/>
    <w:rsid w:val="00FB7624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51B9"/>
  <w15:chartTrackingRefBased/>
  <w15:docId w15:val="{186BD5A4-DE58-FA41-8226-55325FF2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B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A0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C1A0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unhideWhenUsed/>
    <w:rsid w:val="00AC1A05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C1A0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AC1A0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C1A05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C1A0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C1A05"/>
  </w:style>
  <w:style w:type="character" w:styleId="ab">
    <w:name w:val="page number"/>
    <w:basedOn w:val="a0"/>
    <w:uiPriority w:val="99"/>
    <w:semiHidden/>
    <w:unhideWhenUsed/>
    <w:rsid w:val="00AC1A05"/>
  </w:style>
  <w:style w:type="paragraph" w:styleId="ac">
    <w:name w:val="Revision"/>
    <w:hidden/>
    <w:uiPriority w:val="99"/>
    <w:semiHidden/>
    <w:rsid w:val="00D60F32"/>
  </w:style>
  <w:style w:type="character" w:customStyle="1" w:styleId="b-pseudo-link">
    <w:name w:val="b-pseudo-link"/>
    <w:basedOn w:val="a0"/>
    <w:rsid w:val="00C259B5"/>
  </w:style>
  <w:style w:type="character" w:styleId="ad">
    <w:name w:val="Unresolved Mention"/>
    <w:basedOn w:val="a0"/>
    <w:uiPriority w:val="99"/>
    <w:semiHidden/>
    <w:unhideWhenUsed/>
    <w:rsid w:val="009C0AE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74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ostpp.ru/guilds_news/chleny-komiteta-oznakomilis-s-otraslevoy-programmoy-razvitiya-antikorruptsionnogo-komplaensa-i-delov/" TargetMode="External"/><Relationship Id="rId2" Type="http://schemas.openxmlformats.org/officeDocument/2006/relationships/hyperlink" Target="https://mdto.ru/assets/upload/%D0%90%D0%BD%D1%82%D0%B8%D0%BA%D0%BE%D1%80%D1%80%D1%83%D0%BF%D1%86%D0%B8%D0%BE%D0%BD%D0%BD%D0%B0%D1%8F%20%D0%BF%D0%BE%D0%BB%D0%B8%D1%82%D0%B8%D0%BA%D0%B0.pdf" TargetMode="External"/><Relationship Id="rId1" Type="http://schemas.openxmlformats.org/officeDocument/2006/relationships/hyperlink" Target="https://mdto.ru/assets/upload/%D0%9E%D1%82%D1%80%D0%B0%D1%81%D0%BB%D0%B5%D0%B2%D0%B0%D1%8F%20%D0%BF%D1%80%D0%BE%D0%B3%D1%80%D0%B0%D0%BC%D0%BC%D0%B0_15.03.2021.pdf" TargetMode="External"/><Relationship Id="rId6" Type="http://schemas.openxmlformats.org/officeDocument/2006/relationships/hyperlink" Target="https://www.rben.ru/event-2021-06-02" TargetMode="External"/><Relationship Id="rId5" Type="http://schemas.openxmlformats.org/officeDocument/2006/relationships/hyperlink" Target="https://www.rben.ru/event-2021-04-22-23" TargetMode="External"/><Relationship Id="rId4" Type="http://schemas.openxmlformats.org/officeDocument/2006/relationships/hyperlink" Target="https://org.tpprf.ru/committee/council_komplaens/post-release/26843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FD024-DE99-C841-9C79-558C056B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Ахметшин</dc:creator>
  <cp:keywords/>
  <dc:description/>
  <cp:lastModifiedBy>Фомина Любовь Владимировна</cp:lastModifiedBy>
  <cp:revision>2</cp:revision>
  <dcterms:created xsi:type="dcterms:W3CDTF">2021-11-18T10:02:00Z</dcterms:created>
  <dcterms:modified xsi:type="dcterms:W3CDTF">2021-11-18T10:02:00Z</dcterms:modified>
</cp:coreProperties>
</file>